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D76" w:rsidRPr="002C0B6D" w:rsidRDefault="00067D76" w:rsidP="00531416">
      <w:pPr>
        <w:pStyle w:val="Heading2ARblack"/>
        <w:jc w:val="center"/>
      </w:pPr>
      <w:r w:rsidRPr="002C0B6D">
        <w:t xml:space="preserve">Western Australian </w:t>
      </w:r>
      <w:r w:rsidR="002C0B6D" w:rsidRPr="002C0B6D">
        <w:br/>
      </w:r>
      <w:r w:rsidRPr="002C0B6D">
        <w:t>Electoral Commission</w:t>
      </w:r>
    </w:p>
    <w:p w:rsidR="00531416" w:rsidRDefault="00067D76" w:rsidP="00531416">
      <w:pPr>
        <w:pStyle w:val="Heading2AR"/>
        <w:jc w:val="center"/>
        <w:rPr>
          <w:b/>
          <w:bCs/>
        </w:rPr>
      </w:pPr>
      <w:r w:rsidRPr="002C0B6D">
        <w:t>Annual Report</w:t>
      </w:r>
    </w:p>
    <w:p w:rsidR="00067D76" w:rsidRPr="002C0B6D" w:rsidRDefault="00067D76" w:rsidP="00531416">
      <w:pPr>
        <w:pStyle w:val="Heading2ARtitlecase"/>
        <w:jc w:val="center"/>
        <w:rPr>
          <w:color w:val="D1AB1A"/>
          <w:sz w:val="46"/>
          <w:szCs w:val="46"/>
        </w:rPr>
      </w:pPr>
      <w:r w:rsidRPr="002C0B6D">
        <w:rPr>
          <w:color w:val="D1AB1A"/>
          <w:sz w:val="46"/>
          <w:szCs w:val="46"/>
        </w:rPr>
        <w:t>2014–15</w:t>
      </w:r>
    </w:p>
    <w:p w:rsidR="00067D76" w:rsidRDefault="00067D76" w:rsidP="00067D76">
      <w:pPr>
        <w:pStyle w:val="BasicParagraph"/>
        <w:jc w:val="center"/>
        <w:rPr>
          <w:rFonts w:ascii="Myriad Pro" w:hAnsi="Myriad Pro" w:cs="Myriad Pro"/>
          <w:caps/>
          <w:color w:val="D1AB1A"/>
          <w:sz w:val="46"/>
          <w:szCs w:val="46"/>
        </w:rPr>
      </w:pPr>
    </w:p>
    <w:p w:rsidR="00067D76" w:rsidRPr="002C0B6D" w:rsidRDefault="00067D76" w:rsidP="00067D76">
      <w:pPr>
        <w:pStyle w:val="BC"/>
        <w:rPr>
          <w:color w:val="404041"/>
          <w:sz w:val="20"/>
          <w:szCs w:val="20"/>
        </w:rPr>
      </w:pPr>
      <w:r w:rsidRPr="002C0B6D">
        <w:rPr>
          <w:color w:val="404041"/>
          <w:sz w:val="20"/>
          <w:szCs w:val="20"/>
        </w:rPr>
        <w:t>Level 2, 111 St Georges Terrace</w:t>
      </w:r>
      <w:r w:rsidRPr="002C0B6D">
        <w:rPr>
          <w:color w:val="404041"/>
          <w:sz w:val="20"/>
          <w:szCs w:val="20"/>
        </w:rPr>
        <w:br/>
        <w:t>Perth WA 6000</w:t>
      </w:r>
      <w:r w:rsidRPr="002C0B6D">
        <w:rPr>
          <w:color w:val="404041"/>
          <w:sz w:val="20"/>
          <w:szCs w:val="20"/>
        </w:rPr>
        <w:br/>
        <w:t>GPO Box F316</w:t>
      </w:r>
      <w:r w:rsidRPr="002C0B6D">
        <w:rPr>
          <w:color w:val="404041"/>
          <w:sz w:val="20"/>
          <w:szCs w:val="20"/>
        </w:rPr>
        <w:br/>
        <w:t>Perth WA 6841</w:t>
      </w:r>
    </w:p>
    <w:p w:rsidR="00067D76" w:rsidRPr="002C0B6D" w:rsidRDefault="00067D76" w:rsidP="00067D76">
      <w:pPr>
        <w:pStyle w:val="BC"/>
        <w:rPr>
          <w:color w:val="404041"/>
          <w:sz w:val="20"/>
          <w:szCs w:val="20"/>
        </w:rPr>
      </w:pPr>
      <w:r w:rsidRPr="002C0B6D">
        <w:rPr>
          <w:color w:val="404041"/>
          <w:sz w:val="20"/>
          <w:szCs w:val="20"/>
        </w:rPr>
        <w:t>PHONE (08) 9214 0400 or 13 63 06</w:t>
      </w:r>
      <w:r w:rsidRPr="002C0B6D">
        <w:rPr>
          <w:color w:val="404041"/>
          <w:sz w:val="20"/>
          <w:szCs w:val="20"/>
        </w:rPr>
        <w:br/>
        <w:t>EMAIL waec@waec.wa.gov.au</w:t>
      </w:r>
      <w:r w:rsidRPr="002C0B6D">
        <w:rPr>
          <w:color w:val="404041"/>
          <w:sz w:val="20"/>
          <w:szCs w:val="20"/>
        </w:rPr>
        <w:br/>
        <w:t>WEBSITE www.elections.wa.gov.au</w:t>
      </w:r>
      <w:r w:rsidRPr="002C0B6D">
        <w:rPr>
          <w:color w:val="404041"/>
          <w:sz w:val="20"/>
          <w:szCs w:val="20"/>
        </w:rPr>
        <w:br/>
        <w:t>FAX (08) 9226 0577</w:t>
      </w:r>
    </w:p>
    <w:p w:rsidR="00067D76" w:rsidRPr="002C0B6D" w:rsidRDefault="00067D76" w:rsidP="00067D76">
      <w:pPr>
        <w:pStyle w:val="BC"/>
        <w:rPr>
          <w:color w:val="404041"/>
          <w:sz w:val="20"/>
          <w:szCs w:val="20"/>
        </w:rPr>
      </w:pPr>
      <w:r w:rsidRPr="002C0B6D">
        <w:rPr>
          <w:color w:val="404041"/>
          <w:sz w:val="20"/>
          <w:szCs w:val="20"/>
        </w:rPr>
        <w:t>National Relay Service (NRS</w:t>
      </w:r>
      <w:proofErr w:type="gramStart"/>
      <w:r w:rsidRPr="002C0B6D">
        <w:rPr>
          <w:color w:val="404041"/>
          <w:sz w:val="20"/>
          <w:szCs w:val="20"/>
        </w:rPr>
        <w:t>)</w:t>
      </w:r>
      <w:proofErr w:type="gramEnd"/>
      <w:r w:rsidRPr="002C0B6D">
        <w:rPr>
          <w:color w:val="404041"/>
          <w:sz w:val="20"/>
          <w:szCs w:val="20"/>
        </w:rPr>
        <w:br/>
        <w:t>TTY: 133 677 then ask for (08) 9214 0400</w:t>
      </w:r>
    </w:p>
    <w:p w:rsidR="00067D76" w:rsidRPr="002C0B6D" w:rsidRDefault="00067D76" w:rsidP="00067D76">
      <w:pPr>
        <w:rPr>
          <w:rFonts w:ascii="Arial" w:hAnsi="Arial" w:cs="Arial"/>
          <w:color w:val="404041"/>
          <w:sz w:val="20"/>
          <w:szCs w:val="20"/>
        </w:rPr>
      </w:pPr>
      <w:proofErr w:type="gramStart"/>
      <w:r w:rsidRPr="002C0B6D">
        <w:rPr>
          <w:rFonts w:ascii="Arial" w:hAnsi="Arial" w:cs="Arial"/>
          <w:color w:val="404041"/>
          <w:sz w:val="20"/>
          <w:szCs w:val="20"/>
        </w:rPr>
        <w:t>© 2015 Western Australian Electoral Commission.</w:t>
      </w:r>
      <w:proofErr w:type="gramEnd"/>
      <w:r w:rsidRPr="002C0B6D">
        <w:rPr>
          <w:rFonts w:ascii="Arial" w:hAnsi="Arial" w:cs="Arial"/>
          <w:color w:val="404041"/>
          <w:sz w:val="20"/>
          <w:szCs w:val="20"/>
        </w:rPr>
        <w:t xml:space="preserve"> All rights reserved. </w:t>
      </w:r>
      <w:r w:rsidRPr="002C0B6D">
        <w:rPr>
          <w:rFonts w:ascii="Arial" w:hAnsi="Arial" w:cs="Arial"/>
          <w:color w:val="404041"/>
          <w:sz w:val="20"/>
          <w:szCs w:val="20"/>
        </w:rPr>
        <w:br/>
        <w:t>This material may be reproduced in whole or in part provided the source is acknowledged.</w:t>
      </w:r>
    </w:p>
    <w:p w:rsidR="00067D76" w:rsidRPr="002C0B6D" w:rsidRDefault="00067D76">
      <w:pPr>
        <w:rPr>
          <w:rFonts w:ascii="Arial" w:hAnsi="Arial" w:cs="Arial"/>
          <w:color w:val="404041"/>
          <w:sz w:val="20"/>
          <w:szCs w:val="20"/>
        </w:rPr>
      </w:pPr>
      <w:r w:rsidRPr="002C0B6D">
        <w:rPr>
          <w:rFonts w:ascii="Arial" w:hAnsi="Arial" w:cs="Arial"/>
          <w:color w:val="404041"/>
          <w:sz w:val="20"/>
          <w:szCs w:val="20"/>
        </w:rPr>
        <w:br w:type="page"/>
      </w:r>
    </w:p>
    <w:p w:rsidR="00067D76" w:rsidRPr="002C0B6D" w:rsidRDefault="00067D76" w:rsidP="00067D76">
      <w:pPr>
        <w:pStyle w:val="bc-bold"/>
        <w:rPr>
          <w:sz w:val="20"/>
          <w:szCs w:val="20"/>
        </w:rPr>
      </w:pPr>
      <w:r w:rsidRPr="002C0B6D">
        <w:rPr>
          <w:sz w:val="20"/>
          <w:szCs w:val="20"/>
        </w:rPr>
        <w:lastRenderedPageBreak/>
        <w:t>Letter of Transmittal</w:t>
      </w:r>
    </w:p>
    <w:p w:rsidR="00067D76" w:rsidRPr="002C0B6D" w:rsidRDefault="00067D76" w:rsidP="00067D76">
      <w:pPr>
        <w:pStyle w:val="BC"/>
        <w:rPr>
          <w:sz w:val="20"/>
          <w:szCs w:val="20"/>
        </w:rPr>
      </w:pPr>
      <w:r w:rsidRPr="002C0B6D">
        <w:rPr>
          <w:sz w:val="20"/>
          <w:szCs w:val="20"/>
        </w:rPr>
        <w:t>The Hon. Peter Collier MLC</w:t>
      </w:r>
      <w:r w:rsidRPr="002C0B6D">
        <w:rPr>
          <w:sz w:val="20"/>
          <w:szCs w:val="20"/>
        </w:rPr>
        <w:br/>
        <w:t>Minister for Electoral Affairs</w:t>
      </w:r>
      <w:r w:rsidRPr="002C0B6D">
        <w:rPr>
          <w:sz w:val="20"/>
          <w:szCs w:val="20"/>
        </w:rPr>
        <w:br/>
        <w:t>10th Floor, Dumas House</w:t>
      </w:r>
      <w:r w:rsidRPr="002C0B6D">
        <w:rPr>
          <w:sz w:val="20"/>
          <w:szCs w:val="20"/>
        </w:rPr>
        <w:br/>
        <w:t>Havelock Street</w:t>
      </w:r>
      <w:r w:rsidRPr="002C0B6D">
        <w:rPr>
          <w:sz w:val="20"/>
          <w:szCs w:val="20"/>
        </w:rPr>
        <w:br/>
        <w:t>WEST PERTH WA 6005</w:t>
      </w:r>
    </w:p>
    <w:p w:rsidR="00067D76" w:rsidRPr="002C0B6D" w:rsidRDefault="00067D76" w:rsidP="00067D76">
      <w:pPr>
        <w:pStyle w:val="BC"/>
        <w:rPr>
          <w:sz w:val="20"/>
          <w:szCs w:val="20"/>
        </w:rPr>
      </w:pPr>
    </w:p>
    <w:p w:rsidR="00067D76" w:rsidRPr="002C0B6D" w:rsidRDefault="00067D76" w:rsidP="00067D76">
      <w:pPr>
        <w:pStyle w:val="BC"/>
        <w:rPr>
          <w:sz w:val="20"/>
          <w:szCs w:val="20"/>
        </w:rPr>
      </w:pPr>
    </w:p>
    <w:p w:rsidR="00067D76" w:rsidRPr="002C0B6D" w:rsidRDefault="00067D76" w:rsidP="00067D76">
      <w:pPr>
        <w:pStyle w:val="BC"/>
        <w:rPr>
          <w:sz w:val="20"/>
          <w:szCs w:val="20"/>
        </w:rPr>
      </w:pPr>
      <w:r w:rsidRPr="002C0B6D">
        <w:rPr>
          <w:sz w:val="20"/>
          <w:szCs w:val="20"/>
        </w:rPr>
        <w:t>Dear Minister</w:t>
      </w:r>
    </w:p>
    <w:p w:rsidR="00067D76" w:rsidRPr="002C0B6D" w:rsidRDefault="00067D76" w:rsidP="00067D76">
      <w:pPr>
        <w:pStyle w:val="BC"/>
        <w:rPr>
          <w:sz w:val="20"/>
          <w:szCs w:val="20"/>
        </w:rPr>
      </w:pPr>
      <w:r w:rsidRPr="002C0B6D">
        <w:rPr>
          <w:b/>
          <w:bCs/>
          <w:color w:val="006198"/>
          <w:sz w:val="20"/>
          <w:szCs w:val="20"/>
        </w:rPr>
        <w:t>Western Australian Electoral Commission Annual Report 2014–15</w:t>
      </w:r>
    </w:p>
    <w:p w:rsidR="00067D76" w:rsidRPr="002C0B6D" w:rsidRDefault="00067D76" w:rsidP="00067D76">
      <w:pPr>
        <w:pStyle w:val="BC"/>
        <w:rPr>
          <w:sz w:val="20"/>
          <w:szCs w:val="20"/>
        </w:rPr>
      </w:pPr>
      <w:r w:rsidRPr="002C0B6D">
        <w:rPr>
          <w:sz w:val="20"/>
          <w:szCs w:val="20"/>
        </w:rPr>
        <w:t xml:space="preserve">In accordance with the requirements of the </w:t>
      </w:r>
      <w:r w:rsidRPr="002C0B6D">
        <w:rPr>
          <w:i/>
          <w:iCs/>
          <w:sz w:val="20"/>
          <w:szCs w:val="20"/>
        </w:rPr>
        <w:t>Financial Management Act 2006</w:t>
      </w:r>
      <w:r w:rsidRPr="002C0B6D">
        <w:rPr>
          <w:sz w:val="20"/>
          <w:szCs w:val="20"/>
        </w:rPr>
        <w:t xml:space="preserve"> I am pleased to submit for your presentation to Parliament the Annual Report of the </w:t>
      </w:r>
      <w:r w:rsidRPr="002C0B6D">
        <w:rPr>
          <w:sz w:val="20"/>
          <w:szCs w:val="20"/>
        </w:rPr>
        <w:br/>
        <w:t>Western Australian Electoral Commission for the year ended 30 June 2015.</w:t>
      </w:r>
    </w:p>
    <w:p w:rsidR="00067D76" w:rsidRPr="002C0B6D" w:rsidRDefault="00067D76" w:rsidP="00067D76">
      <w:pPr>
        <w:pStyle w:val="BC"/>
        <w:rPr>
          <w:sz w:val="20"/>
          <w:szCs w:val="20"/>
        </w:rPr>
      </w:pPr>
      <w:r w:rsidRPr="002C0B6D">
        <w:rPr>
          <w:sz w:val="20"/>
          <w:szCs w:val="20"/>
        </w:rPr>
        <w:t>The report includes the Auditor General’s Opinion on the Commission’s financial statements and performance indicators.</w:t>
      </w:r>
    </w:p>
    <w:p w:rsidR="00067D76" w:rsidRPr="002C0B6D" w:rsidRDefault="00067D76" w:rsidP="00067D76">
      <w:pPr>
        <w:pStyle w:val="BC"/>
        <w:rPr>
          <w:sz w:val="20"/>
          <w:szCs w:val="20"/>
        </w:rPr>
      </w:pPr>
    </w:p>
    <w:p w:rsidR="00067D76" w:rsidRPr="002C0B6D" w:rsidRDefault="00067D76" w:rsidP="00067D76">
      <w:pPr>
        <w:pStyle w:val="BC"/>
        <w:rPr>
          <w:sz w:val="20"/>
          <w:szCs w:val="20"/>
        </w:rPr>
      </w:pPr>
    </w:p>
    <w:p w:rsidR="00067D76" w:rsidRPr="002C0B6D" w:rsidRDefault="00067D76" w:rsidP="00067D76">
      <w:pPr>
        <w:pStyle w:val="BC"/>
        <w:rPr>
          <w:sz w:val="20"/>
          <w:szCs w:val="20"/>
        </w:rPr>
      </w:pPr>
    </w:p>
    <w:p w:rsidR="00067D76" w:rsidRPr="002C0B6D" w:rsidRDefault="00067D76" w:rsidP="00067D76">
      <w:pPr>
        <w:rPr>
          <w:rFonts w:ascii="Arial" w:hAnsi="Arial" w:cs="Arial"/>
          <w:sz w:val="20"/>
          <w:szCs w:val="20"/>
        </w:rPr>
      </w:pPr>
      <w:r w:rsidRPr="002C0B6D">
        <w:rPr>
          <w:rFonts w:ascii="Arial" w:hAnsi="Arial" w:cs="Arial"/>
          <w:b/>
          <w:bCs/>
          <w:color w:val="006198"/>
          <w:sz w:val="20"/>
          <w:szCs w:val="20"/>
        </w:rPr>
        <w:t>David Kerslake</w:t>
      </w:r>
      <w:r w:rsidRPr="002C0B6D">
        <w:rPr>
          <w:rFonts w:ascii="Arial" w:hAnsi="Arial" w:cs="Arial"/>
          <w:b/>
          <w:bCs/>
          <w:sz w:val="20"/>
          <w:szCs w:val="20"/>
        </w:rPr>
        <w:br/>
      </w:r>
      <w:r w:rsidRPr="002C0B6D">
        <w:rPr>
          <w:rFonts w:ascii="Arial" w:hAnsi="Arial" w:cs="Arial"/>
          <w:b/>
          <w:bCs/>
          <w:i/>
          <w:iCs/>
          <w:sz w:val="20"/>
          <w:szCs w:val="20"/>
        </w:rPr>
        <w:t>ELECTORAL COMMISSIONER</w:t>
      </w:r>
      <w:r w:rsidRPr="002C0B6D">
        <w:rPr>
          <w:rFonts w:ascii="Arial" w:hAnsi="Arial" w:cs="Arial"/>
          <w:sz w:val="20"/>
          <w:szCs w:val="20"/>
        </w:rPr>
        <w:br/>
      </w:r>
      <w:r w:rsidRPr="002C0B6D">
        <w:rPr>
          <w:rFonts w:ascii="Arial" w:hAnsi="Arial" w:cs="Arial"/>
          <w:sz w:val="20"/>
          <w:szCs w:val="20"/>
        </w:rPr>
        <w:br/>
        <w:t>September 2015</w:t>
      </w:r>
    </w:p>
    <w:p w:rsidR="00067D76" w:rsidRDefault="00067D76">
      <w:r>
        <w:br w:type="page"/>
      </w:r>
    </w:p>
    <w:p w:rsidR="00067D76" w:rsidRDefault="00067D76" w:rsidP="00067D76">
      <w:pPr>
        <w:pStyle w:val="Heading"/>
        <w:sectPr w:rsidR="00067D76" w:rsidSect="00DE5DA3">
          <w:footerReference w:type="default" r:id="rId9"/>
          <w:pgSz w:w="11906" w:h="16838"/>
          <w:pgMar w:top="720" w:right="720" w:bottom="720" w:left="720" w:header="720" w:footer="720" w:gutter="0"/>
          <w:cols w:space="720"/>
          <w:noEndnote/>
        </w:sectPr>
      </w:pPr>
    </w:p>
    <w:p w:rsidR="00067D76" w:rsidRPr="0041683D" w:rsidRDefault="00067D76" w:rsidP="00F73CE3">
      <w:pPr>
        <w:pStyle w:val="Heading1AR"/>
      </w:pPr>
      <w:r w:rsidRPr="0041683D">
        <w:lastRenderedPageBreak/>
        <w:t>Contents</w:t>
      </w:r>
    </w:p>
    <w:p w:rsidR="00067D76" w:rsidRPr="002C0B6D" w:rsidRDefault="00067D76" w:rsidP="00067D76">
      <w:pPr>
        <w:pStyle w:val="TOC-LEVEL1"/>
        <w:rPr>
          <w:sz w:val="20"/>
          <w:szCs w:val="20"/>
        </w:rPr>
      </w:pPr>
      <w:r w:rsidRPr="002C0B6D">
        <w:rPr>
          <w:sz w:val="20"/>
          <w:szCs w:val="20"/>
        </w:rPr>
        <w:t>Foreword</w:t>
      </w:r>
      <w:r w:rsidRPr="002C0B6D">
        <w:rPr>
          <w:sz w:val="20"/>
          <w:szCs w:val="20"/>
        </w:rPr>
        <w:tab/>
      </w:r>
      <w:r w:rsidRPr="002C0B6D">
        <w:rPr>
          <w:sz w:val="20"/>
          <w:szCs w:val="20"/>
        </w:rPr>
        <w:tab/>
      </w:r>
      <w:r w:rsidRPr="002C0B6D">
        <w:rPr>
          <w:sz w:val="20"/>
          <w:szCs w:val="20"/>
        </w:rPr>
        <w:tab/>
      </w:r>
      <w:r w:rsidRPr="002C0B6D">
        <w:rPr>
          <w:rStyle w:val="TOC-Heading0"/>
          <w:b w:val="0"/>
          <w:bCs w:val="0"/>
          <w:sz w:val="20"/>
          <w:szCs w:val="20"/>
        </w:rPr>
        <w:tab/>
      </w:r>
      <w:r w:rsidRPr="002C0B6D">
        <w:rPr>
          <w:rStyle w:val="TOC-Heading0"/>
          <w:b w:val="0"/>
          <w:bCs w:val="0"/>
          <w:sz w:val="20"/>
          <w:szCs w:val="20"/>
        </w:rPr>
        <w:tab/>
      </w:r>
      <w:r w:rsidR="001D6958">
        <w:rPr>
          <w:rStyle w:val="TOC-Heading0"/>
          <w:sz w:val="20"/>
          <w:szCs w:val="20"/>
        </w:rPr>
        <w:t>4</w:t>
      </w:r>
    </w:p>
    <w:p w:rsidR="00067D76" w:rsidRPr="002C0B6D" w:rsidRDefault="00067D76" w:rsidP="00067D76">
      <w:pPr>
        <w:pStyle w:val="TOC-LEVEL1"/>
        <w:rPr>
          <w:sz w:val="20"/>
          <w:szCs w:val="20"/>
        </w:rPr>
      </w:pPr>
      <w:r w:rsidRPr="002C0B6D">
        <w:rPr>
          <w:sz w:val="20"/>
          <w:szCs w:val="20"/>
        </w:rPr>
        <w:t xml:space="preserve">Increasing Elector Participation: </w:t>
      </w:r>
      <w:r w:rsidRPr="002C0B6D">
        <w:rPr>
          <w:sz w:val="20"/>
          <w:szCs w:val="20"/>
        </w:rPr>
        <w:br/>
        <w:t xml:space="preserve">A Matter of Convenience </w:t>
      </w:r>
      <w:r w:rsidRPr="002C0B6D">
        <w:rPr>
          <w:sz w:val="20"/>
          <w:szCs w:val="20"/>
        </w:rPr>
        <w:tab/>
      </w:r>
      <w:r w:rsidRPr="002C0B6D">
        <w:rPr>
          <w:rStyle w:val="TOC-Heading0"/>
          <w:b w:val="0"/>
          <w:bCs w:val="0"/>
          <w:sz w:val="20"/>
          <w:szCs w:val="20"/>
        </w:rPr>
        <w:tab/>
      </w:r>
      <w:r w:rsidRPr="002C0B6D">
        <w:rPr>
          <w:rStyle w:val="TOC-Heading0"/>
          <w:b w:val="0"/>
          <w:bCs w:val="0"/>
          <w:sz w:val="20"/>
          <w:szCs w:val="20"/>
        </w:rPr>
        <w:tab/>
      </w:r>
      <w:r w:rsidR="001D6958">
        <w:rPr>
          <w:rStyle w:val="TOC-Heading0"/>
          <w:sz w:val="20"/>
          <w:szCs w:val="20"/>
        </w:rPr>
        <w:t>5</w:t>
      </w:r>
    </w:p>
    <w:p w:rsidR="00067D76" w:rsidRPr="002C0B6D" w:rsidRDefault="00067D76" w:rsidP="00067D76">
      <w:pPr>
        <w:pStyle w:val="TOC-LEVEL1"/>
        <w:rPr>
          <w:sz w:val="20"/>
          <w:szCs w:val="20"/>
        </w:rPr>
      </w:pPr>
      <w:r w:rsidRPr="002C0B6D">
        <w:rPr>
          <w:sz w:val="20"/>
          <w:szCs w:val="20"/>
        </w:rPr>
        <w:t xml:space="preserve">The Rise of Social Media: </w:t>
      </w:r>
      <w:r w:rsidRPr="002C0B6D">
        <w:rPr>
          <w:sz w:val="20"/>
          <w:szCs w:val="20"/>
        </w:rPr>
        <w:br/>
        <w:t>A Whole New World</w:t>
      </w:r>
      <w:r w:rsidRPr="002C0B6D">
        <w:rPr>
          <w:sz w:val="20"/>
          <w:szCs w:val="20"/>
        </w:rPr>
        <w:tab/>
      </w:r>
      <w:r w:rsidRPr="002C0B6D">
        <w:rPr>
          <w:sz w:val="20"/>
          <w:szCs w:val="20"/>
        </w:rPr>
        <w:tab/>
      </w:r>
      <w:r w:rsidRPr="002C0B6D">
        <w:rPr>
          <w:sz w:val="20"/>
          <w:szCs w:val="20"/>
        </w:rPr>
        <w:tab/>
      </w:r>
      <w:r w:rsidRPr="002C0B6D">
        <w:rPr>
          <w:rStyle w:val="TOC-Heading0"/>
          <w:b w:val="0"/>
          <w:bCs w:val="0"/>
          <w:sz w:val="20"/>
          <w:szCs w:val="20"/>
        </w:rPr>
        <w:tab/>
      </w:r>
      <w:r w:rsidR="001D6958">
        <w:rPr>
          <w:rStyle w:val="TOC-Heading0"/>
          <w:sz w:val="20"/>
          <w:szCs w:val="20"/>
        </w:rPr>
        <w:t>6</w:t>
      </w:r>
    </w:p>
    <w:p w:rsidR="00067D76" w:rsidRPr="002C0B6D" w:rsidRDefault="00067D76" w:rsidP="00067D76">
      <w:pPr>
        <w:pStyle w:val="TOC-LEVEL1"/>
        <w:rPr>
          <w:sz w:val="20"/>
          <w:szCs w:val="20"/>
        </w:rPr>
      </w:pPr>
      <w:r w:rsidRPr="002C0B6D">
        <w:rPr>
          <w:sz w:val="20"/>
          <w:szCs w:val="20"/>
        </w:rPr>
        <w:t>About Us</w:t>
      </w:r>
      <w:r w:rsidRPr="002C0B6D">
        <w:rPr>
          <w:sz w:val="20"/>
          <w:szCs w:val="20"/>
        </w:rPr>
        <w:tab/>
      </w:r>
      <w:r w:rsidRPr="002C0B6D">
        <w:rPr>
          <w:sz w:val="20"/>
          <w:szCs w:val="20"/>
        </w:rPr>
        <w:tab/>
      </w:r>
      <w:r w:rsidRPr="002C0B6D">
        <w:rPr>
          <w:sz w:val="20"/>
          <w:szCs w:val="20"/>
        </w:rPr>
        <w:tab/>
      </w:r>
      <w:r w:rsidRPr="002C0B6D">
        <w:rPr>
          <w:sz w:val="20"/>
          <w:szCs w:val="20"/>
        </w:rPr>
        <w:tab/>
      </w:r>
      <w:r w:rsidRPr="002C0B6D">
        <w:rPr>
          <w:rStyle w:val="TOC-Heading0"/>
          <w:b w:val="0"/>
          <w:bCs w:val="0"/>
          <w:sz w:val="20"/>
          <w:szCs w:val="20"/>
        </w:rPr>
        <w:tab/>
      </w:r>
      <w:r w:rsidR="001D6958">
        <w:rPr>
          <w:rStyle w:val="TOC-Heading0"/>
          <w:sz w:val="20"/>
          <w:szCs w:val="20"/>
        </w:rPr>
        <w:t>7</w:t>
      </w:r>
    </w:p>
    <w:p w:rsidR="00067D76" w:rsidRPr="002C0B6D" w:rsidRDefault="00067D76" w:rsidP="00067D76">
      <w:pPr>
        <w:pStyle w:val="TOC-HEADING"/>
        <w:rPr>
          <w:sz w:val="20"/>
          <w:szCs w:val="20"/>
        </w:rPr>
      </w:pPr>
      <w:r w:rsidRPr="002C0B6D">
        <w:rPr>
          <w:sz w:val="20"/>
          <w:szCs w:val="20"/>
        </w:rPr>
        <w:t>Overview of Agency</w:t>
      </w:r>
      <w:r w:rsidRPr="002C0B6D">
        <w:rPr>
          <w:rStyle w:val="TOC-SectionHead"/>
          <w:b/>
          <w:bCs/>
          <w:caps/>
          <w:sz w:val="20"/>
          <w:szCs w:val="20"/>
        </w:rPr>
        <w:tab/>
      </w:r>
      <w:r w:rsidRPr="002C0B6D">
        <w:rPr>
          <w:rStyle w:val="TOC-SectionHead"/>
          <w:b/>
          <w:bCs/>
          <w:caps/>
          <w:sz w:val="20"/>
          <w:szCs w:val="20"/>
        </w:rPr>
        <w:tab/>
      </w:r>
      <w:r w:rsidRPr="002C0B6D">
        <w:rPr>
          <w:rStyle w:val="TOC-SectionHead"/>
          <w:b/>
          <w:bCs/>
          <w:caps/>
          <w:sz w:val="20"/>
          <w:szCs w:val="20"/>
        </w:rPr>
        <w:tab/>
      </w:r>
      <w:r w:rsidR="001D6958">
        <w:rPr>
          <w:rStyle w:val="TOC-SectionHead"/>
          <w:b/>
          <w:bCs/>
          <w:caps/>
          <w:sz w:val="20"/>
          <w:szCs w:val="20"/>
        </w:rPr>
        <w:t>7</w:t>
      </w:r>
    </w:p>
    <w:p w:rsidR="00067D76" w:rsidRPr="002C0B6D" w:rsidRDefault="00067D76" w:rsidP="00067D76">
      <w:pPr>
        <w:pStyle w:val="TOC-LEVEL1"/>
        <w:rPr>
          <w:sz w:val="20"/>
          <w:szCs w:val="20"/>
        </w:rPr>
      </w:pPr>
      <w:r w:rsidRPr="002C0B6D">
        <w:rPr>
          <w:sz w:val="20"/>
          <w:szCs w:val="20"/>
        </w:rPr>
        <w:t>Executive Summary</w:t>
      </w:r>
      <w:r w:rsidRPr="002C0B6D">
        <w:rPr>
          <w:sz w:val="20"/>
          <w:szCs w:val="20"/>
        </w:rPr>
        <w:tab/>
      </w:r>
      <w:r w:rsidRPr="002C0B6D">
        <w:rPr>
          <w:sz w:val="20"/>
          <w:szCs w:val="20"/>
        </w:rPr>
        <w:tab/>
      </w:r>
      <w:r w:rsidRPr="002C0B6D">
        <w:rPr>
          <w:sz w:val="20"/>
          <w:szCs w:val="20"/>
        </w:rPr>
        <w:tab/>
      </w:r>
      <w:r w:rsidRPr="002C0B6D">
        <w:rPr>
          <w:rStyle w:val="TOC-Heading0"/>
          <w:b w:val="0"/>
          <w:bCs w:val="0"/>
          <w:sz w:val="20"/>
          <w:szCs w:val="20"/>
        </w:rPr>
        <w:tab/>
      </w:r>
      <w:r w:rsidR="001D6958">
        <w:rPr>
          <w:rStyle w:val="TOC-Heading0"/>
          <w:sz w:val="20"/>
          <w:szCs w:val="20"/>
        </w:rPr>
        <w:t>8</w:t>
      </w:r>
    </w:p>
    <w:p w:rsidR="00067D76" w:rsidRPr="002C0B6D" w:rsidRDefault="00067D76" w:rsidP="00067D76">
      <w:pPr>
        <w:pStyle w:val="TOC-Level2"/>
        <w:rPr>
          <w:sz w:val="20"/>
          <w:szCs w:val="20"/>
        </w:rPr>
      </w:pPr>
      <w:r w:rsidRPr="002C0B6D">
        <w:rPr>
          <w:sz w:val="20"/>
          <w:szCs w:val="20"/>
        </w:rPr>
        <w:t xml:space="preserve">Election Operations </w:t>
      </w:r>
      <w:r w:rsidRPr="002C0B6D">
        <w:rPr>
          <w:sz w:val="20"/>
          <w:szCs w:val="20"/>
        </w:rPr>
        <w:tab/>
      </w:r>
      <w:r w:rsidRPr="002C0B6D">
        <w:rPr>
          <w:sz w:val="20"/>
          <w:szCs w:val="20"/>
        </w:rPr>
        <w:tab/>
      </w:r>
      <w:r w:rsidRPr="002C0B6D">
        <w:rPr>
          <w:sz w:val="20"/>
          <w:szCs w:val="20"/>
        </w:rPr>
        <w:tab/>
      </w:r>
      <w:r w:rsidRPr="002C0B6D">
        <w:rPr>
          <w:rStyle w:val="TOC-SubHead"/>
          <w:i/>
          <w:iCs/>
          <w:sz w:val="20"/>
          <w:szCs w:val="20"/>
        </w:rPr>
        <w:tab/>
      </w:r>
      <w:r w:rsidR="001D6958">
        <w:rPr>
          <w:rStyle w:val="TOC-SubHead"/>
          <w:i/>
          <w:iCs/>
          <w:sz w:val="20"/>
          <w:szCs w:val="20"/>
        </w:rPr>
        <w:t>8</w:t>
      </w:r>
    </w:p>
    <w:p w:rsidR="00067D76" w:rsidRPr="002C0B6D" w:rsidRDefault="00067D76" w:rsidP="00067D76">
      <w:pPr>
        <w:pStyle w:val="TOC-Level2"/>
        <w:rPr>
          <w:sz w:val="20"/>
          <w:szCs w:val="20"/>
        </w:rPr>
      </w:pPr>
      <w:r w:rsidRPr="002C0B6D">
        <w:rPr>
          <w:sz w:val="20"/>
          <w:szCs w:val="20"/>
        </w:rPr>
        <w:t>Business Services</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8</w:t>
      </w:r>
    </w:p>
    <w:p w:rsidR="00067D76" w:rsidRPr="002C0B6D" w:rsidRDefault="00067D76" w:rsidP="00067D76">
      <w:pPr>
        <w:pStyle w:val="TOC-Level2"/>
        <w:rPr>
          <w:sz w:val="20"/>
          <w:szCs w:val="20"/>
        </w:rPr>
      </w:pPr>
      <w:r w:rsidRPr="002C0B6D">
        <w:rPr>
          <w:sz w:val="20"/>
          <w:szCs w:val="20"/>
        </w:rPr>
        <w:t>Information Technology</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8</w:t>
      </w:r>
    </w:p>
    <w:p w:rsidR="00067D76" w:rsidRPr="002C0B6D" w:rsidRDefault="00067D76" w:rsidP="00067D76">
      <w:pPr>
        <w:pStyle w:val="TOC-Level2"/>
        <w:rPr>
          <w:sz w:val="20"/>
          <w:szCs w:val="20"/>
        </w:rPr>
      </w:pPr>
      <w:r w:rsidRPr="002C0B6D">
        <w:rPr>
          <w:sz w:val="20"/>
          <w:szCs w:val="20"/>
        </w:rPr>
        <w:t>Office of the Distribution Commissioners</w:t>
      </w:r>
      <w:r w:rsidRPr="002C0B6D">
        <w:rPr>
          <w:rStyle w:val="TOC-SubHead"/>
          <w:i/>
          <w:iCs/>
          <w:sz w:val="20"/>
          <w:szCs w:val="20"/>
        </w:rPr>
        <w:tab/>
      </w:r>
      <w:r w:rsidR="001D6958">
        <w:rPr>
          <w:rStyle w:val="TOC-SubHead"/>
          <w:i/>
          <w:iCs/>
          <w:sz w:val="20"/>
          <w:szCs w:val="20"/>
        </w:rPr>
        <w:t>8</w:t>
      </w:r>
    </w:p>
    <w:p w:rsidR="00067D76" w:rsidRPr="002C0B6D" w:rsidRDefault="00067D76" w:rsidP="00067D76">
      <w:pPr>
        <w:pStyle w:val="TOC-Level2"/>
        <w:rPr>
          <w:sz w:val="20"/>
          <w:szCs w:val="20"/>
        </w:rPr>
      </w:pPr>
      <w:r w:rsidRPr="002C0B6D">
        <w:rPr>
          <w:sz w:val="20"/>
          <w:szCs w:val="20"/>
        </w:rPr>
        <w:t>Management Team</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8</w:t>
      </w:r>
    </w:p>
    <w:p w:rsidR="00067D76" w:rsidRPr="002C0B6D" w:rsidRDefault="00067D76" w:rsidP="00067D76">
      <w:pPr>
        <w:pStyle w:val="TOC-LEVEL1"/>
        <w:rPr>
          <w:sz w:val="20"/>
          <w:szCs w:val="20"/>
        </w:rPr>
      </w:pPr>
      <w:r w:rsidRPr="002C0B6D">
        <w:rPr>
          <w:sz w:val="20"/>
          <w:szCs w:val="20"/>
        </w:rPr>
        <w:t>Organisational Chart</w:t>
      </w:r>
      <w:r w:rsidRPr="002C0B6D">
        <w:rPr>
          <w:rStyle w:val="TOC-Heading0"/>
          <w:b w:val="0"/>
          <w:bCs w:val="0"/>
          <w:sz w:val="20"/>
          <w:szCs w:val="20"/>
        </w:rPr>
        <w:tab/>
      </w:r>
      <w:r w:rsidRPr="002C0B6D">
        <w:rPr>
          <w:rStyle w:val="TOC-Heading0"/>
          <w:b w:val="0"/>
          <w:bCs w:val="0"/>
          <w:sz w:val="20"/>
          <w:szCs w:val="20"/>
        </w:rPr>
        <w:tab/>
      </w:r>
      <w:r w:rsidRPr="002C0B6D">
        <w:rPr>
          <w:rStyle w:val="TOC-Heading0"/>
          <w:b w:val="0"/>
          <w:bCs w:val="0"/>
          <w:sz w:val="20"/>
          <w:szCs w:val="20"/>
        </w:rPr>
        <w:tab/>
      </w:r>
      <w:r w:rsidRPr="002C0B6D">
        <w:rPr>
          <w:rStyle w:val="TOC-Heading0"/>
          <w:b w:val="0"/>
          <w:bCs w:val="0"/>
          <w:sz w:val="20"/>
          <w:szCs w:val="20"/>
        </w:rPr>
        <w:tab/>
      </w:r>
      <w:r w:rsidR="001D6958">
        <w:rPr>
          <w:rStyle w:val="TOC-Heading0"/>
          <w:sz w:val="20"/>
          <w:szCs w:val="20"/>
        </w:rPr>
        <w:t>9</w:t>
      </w:r>
    </w:p>
    <w:p w:rsidR="00067D76" w:rsidRPr="002C0B6D" w:rsidRDefault="00067D76" w:rsidP="00067D76">
      <w:pPr>
        <w:pStyle w:val="TOC-HEADING"/>
        <w:rPr>
          <w:rStyle w:val="TOC-SectionHead"/>
          <w:b/>
          <w:bCs/>
          <w:caps/>
          <w:sz w:val="20"/>
          <w:szCs w:val="20"/>
        </w:rPr>
      </w:pPr>
      <w:r w:rsidRPr="002C0B6D">
        <w:rPr>
          <w:sz w:val="20"/>
          <w:szCs w:val="20"/>
        </w:rPr>
        <w:t xml:space="preserve">The Year in Review </w:t>
      </w:r>
      <w:r w:rsidR="0041683D">
        <w:rPr>
          <w:rStyle w:val="TOC-Heading0"/>
          <w:b w:val="0"/>
          <w:bCs w:val="0"/>
          <w:sz w:val="20"/>
          <w:szCs w:val="20"/>
        </w:rPr>
        <w:tab/>
      </w:r>
      <w:r w:rsidR="0041683D">
        <w:rPr>
          <w:rStyle w:val="TOC-Heading0"/>
          <w:b w:val="0"/>
          <w:bCs w:val="0"/>
          <w:sz w:val="20"/>
          <w:szCs w:val="20"/>
        </w:rPr>
        <w:tab/>
      </w:r>
      <w:r w:rsidR="0041683D">
        <w:rPr>
          <w:rStyle w:val="TOC-Heading0"/>
          <w:b w:val="0"/>
          <w:bCs w:val="0"/>
          <w:sz w:val="20"/>
          <w:szCs w:val="20"/>
        </w:rPr>
        <w:tab/>
      </w:r>
      <w:r w:rsidR="001D6958">
        <w:rPr>
          <w:rStyle w:val="TOC-SectionHead"/>
          <w:b/>
          <w:bCs/>
          <w:caps/>
          <w:sz w:val="20"/>
          <w:szCs w:val="20"/>
        </w:rPr>
        <w:t>10</w:t>
      </w:r>
    </w:p>
    <w:p w:rsidR="00067D76" w:rsidRPr="002C0B6D" w:rsidRDefault="00067D76" w:rsidP="00067D76">
      <w:pPr>
        <w:pStyle w:val="TOC-LEVEL1"/>
        <w:rPr>
          <w:sz w:val="20"/>
          <w:szCs w:val="20"/>
        </w:rPr>
      </w:pPr>
      <w:r w:rsidRPr="002C0B6D">
        <w:rPr>
          <w:sz w:val="20"/>
          <w:szCs w:val="20"/>
        </w:rPr>
        <w:t>Highlights: 2014–15</w:t>
      </w:r>
      <w:r w:rsidRPr="002C0B6D">
        <w:rPr>
          <w:sz w:val="20"/>
          <w:szCs w:val="20"/>
        </w:rPr>
        <w:tab/>
      </w:r>
      <w:r w:rsidRPr="002C0B6D">
        <w:rPr>
          <w:sz w:val="20"/>
          <w:szCs w:val="20"/>
        </w:rPr>
        <w:tab/>
      </w:r>
      <w:r w:rsidRPr="002C0B6D">
        <w:rPr>
          <w:sz w:val="20"/>
          <w:szCs w:val="20"/>
        </w:rPr>
        <w:tab/>
      </w:r>
      <w:r w:rsidRPr="002C0B6D">
        <w:rPr>
          <w:rStyle w:val="TOC-Heading0"/>
          <w:b w:val="0"/>
          <w:bCs w:val="0"/>
          <w:sz w:val="20"/>
          <w:szCs w:val="20"/>
        </w:rPr>
        <w:tab/>
      </w:r>
      <w:r w:rsidR="001D6958">
        <w:rPr>
          <w:rStyle w:val="TOC-Heading0"/>
          <w:sz w:val="20"/>
          <w:szCs w:val="20"/>
        </w:rPr>
        <w:t>10</w:t>
      </w:r>
    </w:p>
    <w:p w:rsidR="00067D76" w:rsidRPr="002C0B6D" w:rsidRDefault="00067D76" w:rsidP="00067D76">
      <w:pPr>
        <w:pStyle w:val="TOC-Level2"/>
        <w:rPr>
          <w:sz w:val="20"/>
          <w:szCs w:val="20"/>
        </w:rPr>
      </w:pPr>
      <w:r w:rsidRPr="002C0B6D">
        <w:rPr>
          <w:sz w:val="20"/>
          <w:szCs w:val="20"/>
        </w:rPr>
        <w:t xml:space="preserve">Parliamentary by-election </w:t>
      </w:r>
      <w:r w:rsidRPr="002C0B6D">
        <w:rPr>
          <w:sz w:val="20"/>
          <w:szCs w:val="20"/>
        </w:rPr>
        <w:tab/>
      </w:r>
      <w:r w:rsidRPr="002C0B6D">
        <w:rPr>
          <w:sz w:val="20"/>
          <w:szCs w:val="20"/>
        </w:rPr>
        <w:tab/>
      </w:r>
      <w:r w:rsidRPr="002C0B6D">
        <w:rPr>
          <w:rStyle w:val="TOC-SubHead"/>
          <w:i/>
          <w:iCs/>
          <w:sz w:val="20"/>
          <w:szCs w:val="20"/>
        </w:rPr>
        <w:tab/>
      </w:r>
      <w:r w:rsidR="001D6958">
        <w:rPr>
          <w:rStyle w:val="TOC-SubHead"/>
          <w:i/>
          <w:iCs/>
          <w:sz w:val="20"/>
          <w:szCs w:val="20"/>
        </w:rPr>
        <w:t>10</w:t>
      </w:r>
    </w:p>
    <w:p w:rsidR="00067D76" w:rsidRPr="002C0B6D" w:rsidRDefault="00067D76" w:rsidP="00067D76">
      <w:pPr>
        <w:pStyle w:val="TOC-Level2"/>
        <w:rPr>
          <w:sz w:val="20"/>
          <w:szCs w:val="20"/>
        </w:rPr>
      </w:pPr>
      <w:r w:rsidRPr="002C0B6D">
        <w:rPr>
          <w:sz w:val="20"/>
          <w:szCs w:val="20"/>
        </w:rPr>
        <w:t>Elections for 88 local governments</w:t>
      </w:r>
      <w:r w:rsidRPr="002C0B6D">
        <w:rPr>
          <w:rStyle w:val="TOC-SubHead"/>
          <w:i/>
          <w:iCs/>
          <w:sz w:val="20"/>
          <w:szCs w:val="20"/>
        </w:rPr>
        <w:tab/>
      </w:r>
      <w:r w:rsidRPr="002C0B6D">
        <w:rPr>
          <w:rStyle w:val="TOC-SubHead"/>
          <w:i/>
          <w:iCs/>
          <w:sz w:val="20"/>
          <w:szCs w:val="20"/>
        </w:rPr>
        <w:tab/>
      </w:r>
      <w:r w:rsidR="001D6958">
        <w:rPr>
          <w:rStyle w:val="TOC-SubHead"/>
          <w:i/>
          <w:iCs/>
          <w:sz w:val="20"/>
          <w:szCs w:val="20"/>
        </w:rPr>
        <w:t>10</w:t>
      </w:r>
    </w:p>
    <w:p w:rsidR="00067D76" w:rsidRPr="002C0B6D" w:rsidRDefault="00067D76" w:rsidP="00067D76">
      <w:pPr>
        <w:pStyle w:val="TOC-Level2"/>
        <w:rPr>
          <w:sz w:val="20"/>
          <w:szCs w:val="20"/>
        </w:rPr>
      </w:pPr>
      <w:r w:rsidRPr="002C0B6D">
        <w:rPr>
          <w:sz w:val="20"/>
          <w:szCs w:val="20"/>
        </w:rPr>
        <w:t>Review of state election planning</w:t>
      </w:r>
      <w:r w:rsidRPr="002C0B6D">
        <w:rPr>
          <w:rStyle w:val="TOC-SubHead"/>
          <w:i/>
          <w:iCs/>
          <w:sz w:val="20"/>
          <w:szCs w:val="20"/>
        </w:rPr>
        <w:tab/>
      </w:r>
      <w:r w:rsidRPr="002C0B6D">
        <w:rPr>
          <w:rStyle w:val="TOC-SubHead"/>
          <w:i/>
          <w:iCs/>
          <w:sz w:val="20"/>
          <w:szCs w:val="20"/>
        </w:rPr>
        <w:tab/>
      </w:r>
      <w:r w:rsidR="001D6958">
        <w:rPr>
          <w:rStyle w:val="TOC-SubHead"/>
          <w:i/>
          <w:iCs/>
          <w:sz w:val="20"/>
          <w:szCs w:val="20"/>
        </w:rPr>
        <w:t>10</w:t>
      </w:r>
    </w:p>
    <w:p w:rsidR="00067D76" w:rsidRPr="002C0B6D" w:rsidRDefault="00067D76" w:rsidP="00067D76">
      <w:pPr>
        <w:pStyle w:val="TOC-Level2"/>
        <w:rPr>
          <w:sz w:val="20"/>
          <w:szCs w:val="20"/>
        </w:rPr>
      </w:pPr>
      <w:r w:rsidRPr="002C0B6D">
        <w:rPr>
          <w:sz w:val="20"/>
          <w:szCs w:val="20"/>
        </w:rPr>
        <w:t>Fee for service elections</w:t>
      </w:r>
      <w:r w:rsidRPr="002C0B6D">
        <w:rPr>
          <w:sz w:val="20"/>
          <w:szCs w:val="20"/>
        </w:rPr>
        <w:tab/>
      </w:r>
      <w:r w:rsidRPr="002C0B6D">
        <w:rPr>
          <w:sz w:val="20"/>
          <w:szCs w:val="20"/>
        </w:rPr>
        <w:tab/>
      </w:r>
      <w:r w:rsidRPr="002C0B6D">
        <w:rPr>
          <w:rStyle w:val="TOC-SubHead"/>
          <w:i/>
          <w:iCs/>
          <w:sz w:val="20"/>
          <w:szCs w:val="20"/>
        </w:rPr>
        <w:tab/>
      </w:r>
      <w:r w:rsidR="001D6958">
        <w:rPr>
          <w:rStyle w:val="TOC-SubHead"/>
          <w:i/>
          <w:iCs/>
          <w:sz w:val="20"/>
          <w:szCs w:val="20"/>
        </w:rPr>
        <w:t>10</w:t>
      </w:r>
    </w:p>
    <w:p w:rsidR="00067D76" w:rsidRPr="002C0B6D" w:rsidRDefault="00067D76" w:rsidP="00067D76">
      <w:pPr>
        <w:pStyle w:val="TOC-Level2"/>
        <w:rPr>
          <w:sz w:val="20"/>
          <w:szCs w:val="20"/>
        </w:rPr>
      </w:pPr>
      <w:r w:rsidRPr="002C0B6D">
        <w:rPr>
          <w:sz w:val="20"/>
          <w:szCs w:val="20"/>
        </w:rPr>
        <w:t>Education and awareness</w:t>
      </w:r>
      <w:r w:rsidRPr="002C0B6D">
        <w:rPr>
          <w:sz w:val="20"/>
          <w:szCs w:val="20"/>
        </w:rPr>
        <w:tab/>
      </w:r>
      <w:r w:rsidRPr="002C0B6D">
        <w:rPr>
          <w:sz w:val="20"/>
          <w:szCs w:val="20"/>
        </w:rPr>
        <w:tab/>
      </w:r>
      <w:r w:rsidRPr="002C0B6D">
        <w:rPr>
          <w:rStyle w:val="TOC-SubHead"/>
          <w:i/>
          <w:iCs/>
          <w:sz w:val="20"/>
          <w:szCs w:val="20"/>
        </w:rPr>
        <w:tab/>
      </w:r>
      <w:r w:rsidR="001D6958">
        <w:rPr>
          <w:rStyle w:val="TOC-SubHead"/>
          <w:i/>
          <w:iCs/>
          <w:sz w:val="20"/>
          <w:szCs w:val="20"/>
        </w:rPr>
        <w:t>10</w:t>
      </w:r>
    </w:p>
    <w:p w:rsidR="00067D76" w:rsidRPr="002C0B6D" w:rsidRDefault="00067D76" w:rsidP="00067D76">
      <w:pPr>
        <w:pStyle w:val="TOC-Level2"/>
        <w:rPr>
          <w:sz w:val="20"/>
          <w:szCs w:val="20"/>
        </w:rPr>
      </w:pPr>
      <w:r w:rsidRPr="002C0B6D">
        <w:rPr>
          <w:sz w:val="20"/>
          <w:szCs w:val="20"/>
        </w:rPr>
        <w:t>Recommendations for electoral reform</w:t>
      </w:r>
      <w:r w:rsidR="002C0B6D">
        <w:rPr>
          <w:rStyle w:val="TOC-SubHead"/>
          <w:i/>
          <w:iCs/>
          <w:sz w:val="20"/>
          <w:szCs w:val="20"/>
        </w:rPr>
        <w:tab/>
      </w:r>
      <w:r w:rsidR="001D6958">
        <w:rPr>
          <w:rStyle w:val="TOC-SubHead"/>
          <w:i/>
          <w:iCs/>
          <w:sz w:val="20"/>
          <w:szCs w:val="20"/>
        </w:rPr>
        <w:t>10</w:t>
      </w:r>
    </w:p>
    <w:p w:rsidR="00067D76" w:rsidRPr="002C0B6D" w:rsidRDefault="00067D76" w:rsidP="00067D76">
      <w:pPr>
        <w:pStyle w:val="TOC-Level2"/>
        <w:rPr>
          <w:sz w:val="20"/>
          <w:szCs w:val="20"/>
        </w:rPr>
      </w:pPr>
      <w:r w:rsidRPr="002C0B6D">
        <w:rPr>
          <w:sz w:val="20"/>
          <w:szCs w:val="20"/>
        </w:rPr>
        <w:t>Review of electoral boundaries</w:t>
      </w:r>
      <w:r w:rsidR="002C0B6D">
        <w:rPr>
          <w:rStyle w:val="TOC-SubHead"/>
          <w:i/>
          <w:iCs/>
          <w:sz w:val="20"/>
          <w:szCs w:val="20"/>
        </w:rPr>
        <w:tab/>
      </w:r>
      <w:r w:rsidR="002C0B6D">
        <w:rPr>
          <w:rStyle w:val="TOC-SubHead"/>
          <w:i/>
          <w:iCs/>
          <w:sz w:val="20"/>
          <w:szCs w:val="20"/>
        </w:rPr>
        <w:tab/>
      </w:r>
      <w:r w:rsidR="001D6958">
        <w:rPr>
          <w:rStyle w:val="TOC-SubHead"/>
          <w:i/>
          <w:iCs/>
          <w:sz w:val="20"/>
          <w:szCs w:val="20"/>
        </w:rPr>
        <w:t>10</w:t>
      </w:r>
    </w:p>
    <w:p w:rsidR="00067D76" w:rsidRPr="002C0B6D" w:rsidRDefault="00067D76" w:rsidP="00067D76">
      <w:pPr>
        <w:pStyle w:val="TOC-Level2"/>
        <w:rPr>
          <w:sz w:val="20"/>
          <w:szCs w:val="20"/>
        </w:rPr>
      </w:pPr>
      <w:r w:rsidRPr="002C0B6D">
        <w:rPr>
          <w:sz w:val="20"/>
          <w:szCs w:val="20"/>
        </w:rPr>
        <w:t>Structural review of the Commission</w:t>
      </w:r>
      <w:r w:rsidRPr="002C0B6D">
        <w:rPr>
          <w:rStyle w:val="TOC-SubHead"/>
          <w:i/>
          <w:iCs/>
          <w:sz w:val="20"/>
          <w:szCs w:val="20"/>
        </w:rPr>
        <w:tab/>
      </w:r>
      <w:r w:rsidRPr="002C0B6D">
        <w:rPr>
          <w:rStyle w:val="TOC-SubHead"/>
          <w:i/>
          <w:iCs/>
          <w:sz w:val="20"/>
          <w:szCs w:val="20"/>
        </w:rPr>
        <w:tab/>
      </w:r>
      <w:r w:rsidR="001D6958">
        <w:rPr>
          <w:rStyle w:val="TOC-SubHead"/>
          <w:i/>
          <w:iCs/>
          <w:sz w:val="20"/>
          <w:szCs w:val="20"/>
        </w:rPr>
        <w:t>10</w:t>
      </w:r>
    </w:p>
    <w:p w:rsidR="00067D76" w:rsidRPr="002C0B6D" w:rsidRDefault="00067D76" w:rsidP="00067D76">
      <w:pPr>
        <w:pStyle w:val="TOC-LEVEL1"/>
        <w:rPr>
          <w:sz w:val="20"/>
          <w:szCs w:val="20"/>
        </w:rPr>
      </w:pPr>
      <w:r w:rsidRPr="002C0B6D">
        <w:rPr>
          <w:sz w:val="20"/>
          <w:szCs w:val="20"/>
        </w:rPr>
        <w:t>Social Media</w:t>
      </w:r>
      <w:r w:rsidRPr="002C0B6D">
        <w:rPr>
          <w:sz w:val="20"/>
          <w:szCs w:val="20"/>
        </w:rPr>
        <w:tab/>
      </w:r>
      <w:r w:rsidRPr="002C0B6D">
        <w:rPr>
          <w:sz w:val="20"/>
          <w:szCs w:val="20"/>
        </w:rPr>
        <w:tab/>
      </w:r>
      <w:r w:rsidRPr="002C0B6D">
        <w:rPr>
          <w:sz w:val="20"/>
          <w:szCs w:val="20"/>
        </w:rPr>
        <w:tab/>
      </w:r>
      <w:r w:rsidRPr="002C0B6D">
        <w:rPr>
          <w:sz w:val="20"/>
          <w:szCs w:val="20"/>
        </w:rPr>
        <w:tab/>
      </w:r>
      <w:r w:rsidRPr="002C0B6D">
        <w:rPr>
          <w:rStyle w:val="TOC-Heading0"/>
          <w:b w:val="0"/>
          <w:bCs w:val="0"/>
          <w:sz w:val="20"/>
          <w:szCs w:val="20"/>
        </w:rPr>
        <w:tab/>
      </w:r>
      <w:r w:rsidR="001D6958">
        <w:rPr>
          <w:rStyle w:val="TOC-Heading0"/>
          <w:sz w:val="20"/>
          <w:szCs w:val="20"/>
        </w:rPr>
        <w:t>11</w:t>
      </w:r>
    </w:p>
    <w:p w:rsidR="002C0B6D" w:rsidRDefault="00067D76" w:rsidP="00067D76">
      <w:pPr>
        <w:pStyle w:val="TOC-LEVEL1"/>
        <w:rPr>
          <w:sz w:val="20"/>
          <w:szCs w:val="20"/>
        </w:rPr>
      </w:pPr>
      <w:r w:rsidRPr="002C0B6D">
        <w:rPr>
          <w:sz w:val="20"/>
          <w:szCs w:val="20"/>
        </w:rPr>
        <w:t xml:space="preserve">Long Serving Commission Staff </w:t>
      </w:r>
    </w:p>
    <w:p w:rsidR="00067D76" w:rsidRPr="002C0B6D" w:rsidRDefault="00067D76" w:rsidP="002C0B6D">
      <w:pPr>
        <w:pStyle w:val="TOC-LEVEL1"/>
        <w:tabs>
          <w:tab w:val="left" w:pos="4312"/>
        </w:tabs>
        <w:ind w:right="337"/>
        <w:rPr>
          <w:sz w:val="20"/>
          <w:szCs w:val="20"/>
        </w:rPr>
      </w:pPr>
      <w:r w:rsidRPr="002C0B6D">
        <w:rPr>
          <w:sz w:val="20"/>
          <w:szCs w:val="20"/>
        </w:rPr>
        <w:t>Recognised</w:t>
      </w:r>
      <w:r w:rsidR="002C0B6D">
        <w:rPr>
          <w:rStyle w:val="TOC-Heading0"/>
          <w:b w:val="0"/>
          <w:bCs w:val="0"/>
          <w:sz w:val="20"/>
          <w:szCs w:val="20"/>
        </w:rPr>
        <w:tab/>
      </w:r>
      <w:r w:rsidR="001D6958">
        <w:rPr>
          <w:rStyle w:val="TOC-Heading0"/>
          <w:sz w:val="20"/>
          <w:szCs w:val="20"/>
        </w:rPr>
        <w:t>11</w:t>
      </w:r>
    </w:p>
    <w:p w:rsidR="00067D76" w:rsidRPr="002C0B6D" w:rsidRDefault="00067D76" w:rsidP="00067D76">
      <w:pPr>
        <w:pStyle w:val="TOC-LEVEL1"/>
        <w:rPr>
          <w:sz w:val="20"/>
          <w:szCs w:val="20"/>
        </w:rPr>
      </w:pPr>
      <w:r w:rsidRPr="002C0B6D">
        <w:rPr>
          <w:sz w:val="20"/>
          <w:szCs w:val="20"/>
        </w:rPr>
        <w:t xml:space="preserve">The Year </w:t>
      </w:r>
      <w:proofErr w:type="gramStart"/>
      <w:r w:rsidRPr="002C0B6D">
        <w:rPr>
          <w:sz w:val="20"/>
          <w:szCs w:val="20"/>
        </w:rPr>
        <w:t>Ahead</w:t>
      </w:r>
      <w:proofErr w:type="gramEnd"/>
      <w:r w:rsidRPr="002C0B6D">
        <w:rPr>
          <w:rStyle w:val="TOC-Heading0"/>
          <w:b w:val="0"/>
          <w:bCs w:val="0"/>
          <w:sz w:val="20"/>
          <w:szCs w:val="20"/>
        </w:rPr>
        <w:tab/>
      </w:r>
      <w:r w:rsidRPr="002C0B6D">
        <w:rPr>
          <w:rStyle w:val="TOC-Heading0"/>
          <w:b w:val="0"/>
          <w:bCs w:val="0"/>
          <w:sz w:val="20"/>
          <w:szCs w:val="20"/>
        </w:rPr>
        <w:tab/>
      </w:r>
      <w:r w:rsidRPr="002C0B6D">
        <w:rPr>
          <w:rStyle w:val="TOC-Heading0"/>
          <w:b w:val="0"/>
          <w:bCs w:val="0"/>
          <w:sz w:val="20"/>
          <w:szCs w:val="20"/>
        </w:rPr>
        <w:tab/>
      </w:r>
      <w:r w:rsidRPr="002C0B6D">
        <w:rPr>
          <w:rStyle w:val="TOC-Heading0"/>
          <w:b w:val="0"/>
          <w:bCs w:val="0"/>
          <w:sz w:val="20"/>
          <w:szCs w:val="20"/>
        </w:rPr>
        <w:tab/>
      </w:r>
      <w:r w:rsidRPr="002C0B6D">
        <w:rPr>
          <w:rStyle w:val="TOC-Heading0"/>
          <w:sz w:val="20"/>
          <w:szCs w:val="20"/>
        </w:rPr>
        <w:t>1</w:t>
      </w:r>
      <w:r w:rsidR="001D6958">
        <w:rPr>
          <w:rStyle w:val="TOC-Heading0"/>
          <w:sz w:val="20"/>
          <w:szCs w:val="20"/>
        </w:rPr>
        <w:t>2</w:t>
      </w:r>
    </w:p>
    <w:p w:rsidR="00067D76" w:rsidRPr="002C0B6D" w:rsidRDefault="00067D76" w:rsidP="00067D76">
      <w:pPr>
        <w:pStyle w:val="TOC-HEADING"/>
        <w:rPr>
          <w:sz w:val="20"/>
          <w:szCs w:val="20"/>
        </w:rPr>
      </w:pPr>
      <w:r w:rsidRPr="002C0B6D">
        <w:rPr>
          <w:sz w:val="20"/>
          <w:szCs w:val="20"/>
        </w:rPr>
        <w:t>Agency Performance</w:t>
      </w:r>
      <w:r w:rsidRPr="002C0B6D">
        <w:rPr>
          <w:rStyle w:val="TOC-SectionHead"/>
          <w:b/>
          <w:bCs/>
          <w:caps/>
          <w:sz w:val="20"/>
          <w:szCs w:val="20"/>
        </w:rPr>
        <w:tab/>
      </w:r>
      <w:r w:rsidRPr="002C0B6D">
        <w:rPr>
          <w:rStyle w:val="TOC-SectionHead"/>
          <w:b/>
          <w:bCs/>
          <w:caps/>
          <w:sz w:val="20"/>
          <w:szCs w:val="20"/>
        </w:rPr>
        <w:tab/>
      </w:r>
      <w:r w:rsidRPr="002C0B6D">
        <w:rPr>
          <w:rStyle w:val="TOC-SectionHead"/>
          <w:b/>
          <w:bCs/>
          <w:caps/>
          <w:sz w:val="20"/>
          <w:szCs w:val="20"/>
        </w:rPr>
        <w:tab/>
      </w:r>
      <w:r w:rsidR="001D6958">
        <w:rPr>
          <w:rStyle w:val="TOC-SectionHead"/>
          <w:b/>
          <w:bCs/>
          <w:caps/>
          <w:sz w:val="20"/>
          <w:szCs w:val="20"/>
        </w:rPr>
        <w:t>13</w:t>
      </w:r>
    </w:p>
    <w:p w:rsidR="00067D76" w:rsidRPr="002C0B6D" w:rsidRDefault="00067D76" w:rsidP="00067D76">
      <w:pPr>
        <w:pStyle w:val="TOC-LEVEL1"/>
        <w:rPr>
          <w:sz w:val="20"/>
          <w:szCs w:val="20"/>
        </w:rPr>
      </w:pPr>
      <w:r w:rsidRPr="002C0B6D">
        <w:rPr>
          <w:sz w:val="20"/>
          <w:szCs w:val="20"/>
        </w:rPr>
        <w:t>Performance Management Framework</w:t>
      </w:r>
      <w:r w:rsidRPr="002C0B6D">
        <w:rPr>
          <w:rStyle w:val="TOC-Heading0"/>
          <w:b w:val="0"/>
          <w:bCs w:val="0"/>
          <w:sz w:val="20"/>
          <w:szCs w:val="20"/>
        </w:rPr>
        <w:tab/>
      </w:r>
      <w:r w:rsidR="001D6958">
        <w:rPr>
          <w:rStyle w:val="TOC-Heading0"/>
          <w:sz w:val="20"/>
          <w:szCs w:val="20"/>
        </w:rPr>
        <w:t>13</w:t>
      </w:r>
    </w:p>
    <w:p w:rsidR="00067D76" w:rsidRPr="002C0B6D" w:rsidRDefault="00067D76" w:rsidP="00067D76">
      <w:pPr>
        <w:pStyle w:val="TOC-Level2"/>
        <w:rPr>
          <w:sz w:val="20"/>
          <w:szCs w:val="20"/>
        </w:rPr>
      </w:pPr>
      <w:r w:rsidRPr="002C0B6D">
        <w:rPr>
          <w:sz w:val="20"/>
          <w:szCs w:val="20"/>
        </w:rPr>
        <w:t>Desired Outcome</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13</w:t>
      </w:r>
    </w:p>
    <w:p w:rsidR="00067D76" w:rsidRPr="002C0B6D" w:rsidRDefault="00067D76" w:rsidP="00067D76">
      <w:pPr>
        <w:pStyle w:val="TOC-Level2"/>
        <w:rPr>
          <w:sz w:val="20"/>
          <w:szCs w:val="20"/>
        </w:rPr>
      </w:pPr>
      <w:r w:rsidRPr="002C0B6D">
        <w:rPr>
          <w:sz w:val="20"/>
          <w:szCs w:val="20"/>
        </w:rPr>
        <w:t xml:space="preserve">Service </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13</w:t>
      </w:r>
    </w:p>
    <w:p w:rsidR="00067D76" w:rsidRDefault="00067D76" w:rsidP="00067D76">
      <w:pPr>
        <w:pStyle w:val="TOC-LEVEL1"/>
        <w:rPr>
          <w:rStyle w:val="TOC-Heading0"/>
          <w:sz w:val="20"/>
          <w:szCs w:val="20"/>
        </w:rPr>
      </w:pPr>
      <w:r w:rsidRPr="002C0B6D">
        <w:rPr>
          <w:sz w:val="20"/>
          <w:szCs w:val="20"/>
        </w:rPr>
        <w:t>The Commission’s Core Business</w:t>
      </w:r>
      <w:proofErr w:type="gramStart"/>
      <w:r w:rsidRPr="002C0B6D">
        <w:rPr>
          <w:sz w:val="20"/>
          <w:szCs w:val="20"/>
        </w:rPr>
        <w:t>:</w:t>
      </w:r>
      <w:proofErr w:type="gramEnd"/>
      <w:r w:rsidRPr="002C0B6D">
        <w:rPr>
          <w:sz w:val="20"/>
          <w:szCs w:val="20"/>
        </w:rPr>
        <w:br/>
        <w:t>Three Major Components</w:t>
      </w:r>
      <w:r w:rsidRPr="002C0B6D">
        <w:rPr>
          <w:sz w:val="20"/>
          <w:szCs w:val="20"/>
        </w:rPr>
        <w:tab/>
      </w:r>
      <w:r w:rsidRPr="002C0B6D">
        <w:rPr>
          <w:sz w:val="20"/>
          <w:szCs w:val="20"/>
        </w:rPr>
        <w:tab/>
      </w:r>
      <w:r w:rsidRPr="002C0B6D">
        <w:rPr>
          <w:rStyle w:val="TOC-Heading0"/>
          <w:b w:val="0"/>
          <w:bCs w:val="0"/>
          <w:sz w:val="20"/>
          <w:szCs w:val="20"/>
        </w:rPr>
        <w:tab/>
      </w:r>
      <w:r w:rsidR="001D6958">
        <w:rPr>
          <w:rStyle w:val="TOC-Heading0"/>
          <w:sz w:val="20"/>
          <w:szCs w:val="20"/>
        </w:rPr>
        <w:t>13</w:t>
      </w:r>
    </w:p>
    <w:p w:rsidR="001D6958" w:rsidRDefault="001D6958" w:rsidP="001D6958">
      <w:pPr>
        <w:pStyle w:val="TOC-LEVEL1"/>
        <w:ind w:left="252"/>
        <w:rPr>
          <w:b w:val="0"/>
          <w:i/>
          <w:color w:val="auto"/>
          <w:sz w:val="20"/>
          <w:szCs w:val="20"/>
        </w:rPr>
      </w:pPr>
      <w:r w:rsidRPr="001D6958">
        <w:rPr>
          <w:b w:val="0"/>
          <w:i/>
          <w:color w:val="auto"/>
          <w:sz w:val="20"/>
          <w:szCs w:val="20"/>
        </w:rPr>
        <w:t>Output 1: Election Management</w:t>
      </w:r>
      <w:r w:rsidRPr="001D6958">
        <w:rPr>
          <w:b w:val="0"/>
          <w:i/>
          <w:color w:val="auto"/>
          <w:sz w:val="20"/>
          <w:szCs w:val="20"/>
        </w:rPr>
        <w:tab/>
      </w:r>
      <w:r w:rsidRPr="001D6958">
        <w:rPr>
          <w:b w:val="0"/>
          <w:i/>
          <w:color w:val="auto"/>
          <w:sz w:val="20"/>
          <w:szCs w:val="20"/>
        </w:rPr>
        <w:tab/>
        <w:t>13</w:t>
      </w:r>
    </w:p>
    <w:p w:rsidR="00067D76" w:rsidRPr="001D6958" w:rsidRDefault="001D6958" w:rsidP="001D6958">
      <w:pPr>
        <w:pStyle w:val="TOC-LEVEL1"/>
        <w:ind w:left="252"/>
        <w:rPr>
          <w:b w:val="0"/>
          <w:i/>
          <w:color w:val="auto"/>
          <w:sz w:val="20"/>
          <w:szCs w:val="20"/>
        </w:rPr>
      </w:pPr>
      <w:r>
        <w:rPr>
          <w:b w:val="0"/>
          <w:i/>
          <w:color w:val="auto"/>
          <w:sz w:val="20"/>
          <w:szCs w:val="20"/>
        </w:rPr>
        <w:t>Output 2: Electoral Roll Management</w:t>
      </w:r>
      <w:r>
        <w:rPr>
          <w:b w:val="0"/>
          <w:i/>
          <w:color w:val="auto"/>
          <w:sz w:val="20"/>
          <w:szCs w:val="20"/>
        </w:rPr>
        <w:tab/>
      </w:r>
      <w:r>
        <w:rPr>
          <w:b w:val="0"/>
          <w:i/>
          <w:color w:val="auto"/>
          <w:sz w:val="20"/>
          <w:szCs w:val="20"/>
        </w:rPr>
        <w:tab/>
        <w:t>14</w:t>
      </w:r>
      <w:r>
        <w:rPr>
          <w:b w:val="0"/>
          <w:i/>
          <w:color w:val="auto"/>
          <w:sz w:val="20"/>
          <w:szCs w:val="20"/>
        </w:rPr>
        <w:br/>
        <w:t>Output 3: Electoral Awareness &amp; Engagement14</w:t>
      </w:r>
    </w:p>
    <w:p w:rsidR="00067D76" w:rsidRPr="002C0B6D" w:rsidRDefault="000E680A" w:rsidP="00067D76">
      <w:pPr>
        <w:pStyle w:val="TOC-HEADING"/>
        <w:rPr>
          <w:color w:val="58585B"/>
          <w:sz w:val="20"/>
          <w:szCs w:val="20"/>
        </w:rPr>
      </w:pPr>
      <w:r>
        <w:rPr>
          <w:sz w:val="20"/>
          <w:szCs w:val="20"/>
        </w:rPr>
        <w:t xml:space="preserve">Reports of Operations </w:t>
      </w:r>
      <w:r w:rsidR="00067D76" w:rsidRPr="002C0B6D">
        <w:rPr>
          <w:sz w:val="20"/>
          <w:szCs w:val="20"/>
        </w:rPr>
        <w:br/>
      </w:r>
      <w:r w:rsidR="00067D76" w:rsidRPr="002C0B6D">
        <w:rPr>
          <w:color w:val="58585B"/>
          <w:sz w:val="20"/>
          <w:szCs w:val="20"/>
        </w:rPr>
        <w:t>Outputs and Result Areas</w:t>
      </w:r>
      <w:r w:rsidR="00067D76" w:rsidRPr="002C0B6D">
        <w:rPr>
          <w:color w:val="58585B"/>
          <w:sz w:val="20"/>
          <w:szCs w:val="20"/>
        </w:rPr>
        <w:tab/>
      </w:r>
      <w:r w:rsidR="00067D76" w:rsidRPr="002C0B6D">
        <w:rPr>
          <w:rStyle w:val="TOC-SectionHead"/>
          <w:b/>
          <w:bCs/>
          <w:caps/>
          <w:sz w:val="20"/>
          <w:szCs w:val="20"/>
        </w:rPr>
        <w:tab/>
      </w:r>
      <w:r w:rsidR="001D6958">
        <w:rPr>
          <w:rStyle w:val="TOC-SectionHead"/>
          <w:b/>
          <w:bCs/>
          <w:caps/>
          <w:sz w:val="20"/>
          <w:szCs w:val="20"/>
        </w:rPr>
        <w:t>16</w:t>
      </w:r>
    </w:p>
    <w:p w:rsidR="00067D76" w:rsidRPr="002C0B6D" w:rsidRDefault="00067D76" w:rsidP="00067D76">
      <w:pPr>
        <w:pStyle w:val="TOC-LEVEL1"/>
        <w:rPr>
          <w:sz w:val="20"/>
          <w:szCs w:val="20"/>
        </w:rPr>
      </w:pPr>
      <w:r w:rsidRPr="002C0B6D">
        <w:rPr>
          <w:sz w:val="20"/>
          <w:szCs w:val="20"/>
        </w:rPr>
        <w:t>Output 1 Election Management</w:t>
      </w:r>
      <w:r w:rsidRPr="002C0B6D">
        <w:rPr>
          <w:rStyle w:val="TOC-Heading0"/>
          <w:b w:val="0"/>
          <w:bCs w:val="0"/>
          <w:sz w:val="20"/>
          <w:szCs w:val="20"/>
        </w:rPr>
        <w:tab/>
      </w:r>
      <w:r w:rsidRPr="002C0B6D">
        <w:rPr>
          <w:rStyle w:val="TOC-Heading0"/>
          <w:b w:val="0"/>
          <w:bCs w:val="0"/>
          <w:sz w:val="20"/>
          <w:szCs w:val="20"/>
        </w:rPr>
        <w:tab/>
      </w:r>
      <w:r w:rsidR="001D6958">
        <w:rPr>
          <w:rStyle w:val="TOC-Heading0"/>
          <w:sz w:val="20"/>
          <w:szCs w:val="20"/>
        </w:rPr>
        <w:t>16</w:t>
      </w:r>
    </w:p>
    <w:p w:rsidR="00067D76" w:rsidRPr="002C0B6D" w:rsidRDefault="00067D76" w:rsidP="00067D76">
      <w:pPr>
        <w:pStyle w:val="TOC-LEVEL1"/>
        <w:rPr>
          <w:sz w:val="20"/>
          <w:szCs w:val="20"/>
        </w:rPr>
      </w:pPr>
      <w:r w:rsidRPr="002C0B6D">
        <w:rPr>
          <w:sz w:val="20"/>
          <w:szCs w:val="20"/>
        </w:rPr>
        <w:t>Output 2 Elect</w:t>
      </w:r>
      <w:r w:rsidR="002C0B6D">
        <w:rPr>
          <w:sz w:val="20"/>
          <w:szCs w:val="20"/>
        </w:rPr>
        <w:t xml:space="preserve">oral Roll Management </w:t>
      </w:r>
      <w:r w:rsidRPr="002C0B6D">
        <w:rPr>
          <w:rStyle w:val="TOC-Heading0"/>
          <w:b w:val="0"/>
          <w:bCs w:val="0"/>
          <w:sz w:val="20"/>
          <w:szCs w:val="20"/>
        </w:rPr>
        <w:tab/>
      </w:r>
      <w:r w:rsidR="001D6958">
        <w:rPr>
          <w:rStyle w:val="TOC-Heading0"/>
          <w:sz w:val="20"/>
          <w:szCs w:val="20"/>
        </w:rPr>
        <w:t>17</w:t>
      </w:r>
    </w:p>
    <w:p w:rsidR="00067D76" w:rsidRPr="002C0B6D" w:rsidRDefault="00067D76" w:rsidP="00067D76">
      <w:pPr>
        <w:pStyle w:val="TOC-Level2"/>
        <w:rPr>
          <w:sz w:val="20"/>
          <w:szCs w:val="20"/>
        </w:rPr>
      </w:pPr>
      <w:r w:rsidRPr="002C0B6D">
        <w:rPr>
          <w:sz w:val="20"/>
          <w:szCs w:val="20"/>
        </w:rPr>
        <w:t>Silent Electors</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18</w:t>
      </w:r>
    </w:p>
    <w:p w:rsidR="00067D76" w:rsidRPr="002C0B6D" w:rsidRDefault="00067D76" w:rsidP="00067D76">
      <w:pPr>
        <w:pStyle w:val="TOC-Level2"/>
        <w:rPr>
          <w:sz w:val="20"/>
          <w:szCs w:val="20"/>
        </w:rPr>
      </w:pPr>
      <w:r w:rsidRPr="002C0B6D">
        <w:rPr>
          <w:sz w:val="20"/>
          <w:szCs w:val="20"/>
        </w:rPr>
        <w:lastRenderedPageBreak/>
        <w:t>General Early Voters</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18</w:t>
      </w:r>
    </w:p>
    <w:p w:rsidR="00067D76" w:rsidRPr="002C0B6D" w:rsidRDefault="00067D76" w:rsidP="00067D76">
      <w:pPr>
        <w:pStyle w:val="TOC-Level2"/>
        <w:rPr>
          <w:sz w:val="20"/>
          <w:szCs w:val="20"/>
        </w:rPr>
      </w:pPr>
      <w:r w:rsidRPr="002C0B6D">
        <w:rPr>
          <w:sz w:val="20"/>
          <w:szCs w:val="20"/>
        </w:rPr>
        <w:t>Local Government Boundary Changes</w:t>
      </w:r>
      <w:r w:rsidRPr="002C0B6D">
        <w:rPr>
          <w:rStyle w:val="TOC-SubHead"/>
          <w:i/>
          <w:iCs/>
          <w:sz w:val="20"/>
          <w:szCs w:val="20"/>
        </w:rPr>
        <w:tab/>
      </w:r>
      <w:r w:rsidR="001D6958">
        <w:rPr>
          <w:rStyle w:val="TOC-SubHead"/>
          <w:i/>
          <w:iCs/>
          <w:sz w:val="20"/>
          <w:szCs w:val="20"/>
        </w:rPr>
        <w:t>18</w:t>
      </w:r>
    </w:p>
    <w:p w:rsidR="00067D76" w:rsidRPr="002C0B6D" w:rsidRDefault="00067D76" w:rsidP="00067D76">
      <w:pPr>
        <w:pStyle w:val="TOC-Level2"/>
        <w:rPr>
          <w:sz w:val="20"/>
          <w:szCs w:val="20"/>
        </w:rPr>
      </w:pPr>
      <w:r w:rsidRPr="002C0B6D">
        <w:rPr>
          <w:sz w:val="20"/>
          <w:szCs w:val="20"/>
        </w:rPr>
        <w:t>Supply of Roll Information</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18</w:t>
      </w:r>
    </w:p>
    <w:p w:rsidR="00067D76" w:rsidRPr="002C0B6D" w:rsidRDefault="001D6958" w:rsidP="001D6958">
      <w:pPr>
        <w:pStyle w:val="TOC-LEVEL1"/>
        <w:ind w:left="142"/>
        <w:rPr>
          <w:sz w:val="20"/>
          <w:szCs w:val="20"/>
        </w:rPr>
      </w:pPr>
      <w:r>
        <w:rPr>
          <w:color w:val="595959" w:themeColor="text1" w:themeTint="A6"/>
          <w:sz w:val="20"/>
          <w:szCs w:val="20"/>
        </w:rPr>
        <w:t xml:space="preserve">Output 3 Electoral Awareness </w:t>
      </w:r>
      <w:r w:rsidR="00067D76" w:rsidRPr="001D6958">
        <w:rPr>
          <w:color w:val="595959" w:themeColor="text1" w:themeTint="A6"/>
          <w:sz w:val="20"/>
          <w:szCs w:val="20"/>
        </w:rPr>
        <w:t xml:space="preserve">and Engagement </w:t>
      </w:r>
      <w:r w:rsidR="00067D76" w:rsidRPr="001D6958">
        <w:rPr>
          <w:rStyle w:val="TOC-Heading0"/>
          <w:bCs w:val="0"/>
          <w:color w:val="595959" w:themeColor="text1" w:themeTint="A6"/>
          <w:sz w:val="20"/>
          <w:szCs w:val="20"/>
        </w:rPr>
        <w:tab/>
      </w:r>
      <w:r w:rsidR="00067D76" w:rsidRPr="002C0B6D">
        <w:rPr>
          <w:rStyle w:val="TOC-Heading0"/>
          <w:b w:val="0"/>
          <w:bCs w:val="0"/>
          <w:sz w:val="20"/>
          <w:szCs w:val="20"/>
        </w:rPr>
        <w:tab/>
      </w:r>
      <w:r w:rsidR="00067D76" w:rsidRPr="002C0B6D">
        <w:rPr>
          <w:rStyle w:val="TOC-Heading0"/>
          <w:b w:val="0"/>
          <w:bCs w:val="0"/>
          <w:sz w:val="20"/>
          <w:szCs w:val="20"/>
        </w:rPr>
        <w:tab/>
      </w:r>
      <w:r w:rsidR="00067D76" w:rsidRPr="002C0B6D">
        <w:rPr>
          <w:rStyle w:val="TOC-Heading0"/>
          <w:b w:val="0"/>
          <w:bCs w:val="0"/>
          <w:sz w:val="20"/>
          <w:szCs w:val="20"/>
        </w:rPr>
        <w:tab/>
      </w:r>
      <w:r>
        <w:rPr>
          <w:rStyle w:val="TOC-Heading0"/>
          <w:b w:val="0"/>
          <w:bCs w:val="0"/>
          <w:sz w:val="20"/>
          <w:szCs w:val="20"/>
        </w:rPr>
        <w:tab/>
      </w:r>
      <w:r>
        <w:rPr>
          <w:rStyle w:val="TOC-Heading0"/>
          <w:b w:val="0"/>
          <w:bCs w:val="0"/>
          <w:sz w:val="20"/>
          <w:szCs w:val="20"/>
        </w:rPr>
        <w:tab/>
      </w:r>
      <w:r>
        <w:rPr>
          <w:rStyle w:val="TOC-Heading0"/>
          <w:sz w:val="20"/>
          <w:szCs w:val="20"/>
        </w:rPr>
        <w:t>18</w:t>
      </w:r>
    </w:p>
    <w:p w:rsidR="00067D76" w:rsidRPr="002C0B6D" w:rsidRDefault="002C0B6D" w:rsidP="00067D76">
      <w:pPr>
        <w:pStyle w:val="TOC-LEVEL1"/>
        <w:rPr>
          <w:sz w:val="20"/>
          <w:szCs w:val="20"/>
        </w:rPr>
      </w:pPr>
      <w:r>
        <w:rPr>
          <w:sz w:val="20"/>
          <w:szCs w:val="20"/>
        </w:rPr>
        <w:t>Key Result Area 1 Our Clients</w:t>
      </w:r>
      <w:r w:rsidR="00067D76" w:rsidRPr="002C0B6D">
        <w:rPr>
          <w:sz w:val="20"/>
          <w:szCs w:val="20"/>
        </w:rPr>
        <w:tab/>
      </w:r>
      <w:r w:rsidR="00067D76" w:rsidRPr="002C0B6D">
        <w:rPr>
          <w:rStyle w:val="TOC-Heading0"/>
          <w:b w:val="0"/>
          <w:bCs w:val="0"/>
          <w:sz w:val="20"/>
          <w:szCs w:val="20"/>
        </w:rPr>
        <w:tab/>
      </w:r>
      <w:r w:rsidR="001D6958">
        <w:rPr>
          <w:rStyle w:val="TOC-Heading0"/>
          <w:sz w:val="20"/>
          <w:szCs w:val="20"/>
        </w:rPr>
        <w:t>19</w:t>
      </w:r>
    </w:p>
    <w:p w:rsidR="00067D76" w:rsidRPr="002C0B6D" w:rsidRDefault="00067D76" w:rsidP="00067D76">
      <w:pPr>
        <w:pStyle w:val="TOC-Level2"/>
        <w:rPr>
          <w:sz w:val="20"/>
          <w:szCs w:val="20"/>
        </w:rPr>
      </w:pPr>
      <w:r w:rsidRPr="002C0B6D">
        <w:rPr>
          <w:sz w:val="20"/>
          <w:szCs w:val="20"/>
        </w:rPr>
        <w:t>Services to Political Parties and Candidates</w:t>
      </w:r>
      <w:r w:rsidRPr="002C0B6D">
        <w:rPr>
          <w:rStyle w:val="TOC-SubHead"/>
          <w:i/>
          <w:iCs/>
          <w:sz w:val="20"/>
          <w:szCs w:val="20"/>
        </w:rPr>
        <w:tab/>
      </w:r>
      <w:r w:rsidR="001D6958">
        <w:rPr>
          <w:rStyle w:val="TOC-SubHead"/>
          <w:i/>
          <w:iCs/>
          <w:sz w:val="20"/>
          <w:szCs w:val="20"/>
        </w:rPr>
        <w:t>19</w:t>
      </w:r>
    </w:p>
    <w:p w:rsidR="00067D76" w:rsidRPr="002C0B6D" w:rsidRDefault="00067D76" w:rsidP="00067D76">
      <w:pPr>
        <w:pStyle w:val="TOC-Level2"/>
        <w:rPr>
          <w:sz w:val="20"/>
          <w:szCs w:val="20"/>
        </w:rPr>
      </w:pPr>
      <w:r w:rsidRPr="002C0B6D">
        <w:rPr>
          <w:sz w:val="20"/>
          <w:szCs w:val="20"/>
        </w:rPr>
        <w:t>Specialist Elector Services</w:t>
      </w:r>
      <w:r w:rsidRPr="002C0B6D">
        <w:rPr>
          <w:sz w:val="20"/>
          <w:szCs w:val="20"/>
        </w:rPr>
        <w:tab/>
      </w:r>
      <w:r w:rsidRPr="002C0B6D">
        <w:rPr>
          <w:sz w:val="20"/>
          <w:szCs w:val="20"/>
        </w:rPr>
        <w:tab/>
      </w:r>
      <w:r w:rsidRPr="002C0B6D">
        <w:rPr>
          <w:rStyle w:val="TOC-SubHead"/>
          <w:i/>
          <w:iCs/>
          <w:sz w:val="20"/>
          <w:szCs w:val="20"/>
        </w:rPr>
        <w:tab/>
      </w:r>
      <w:r w:rsidR="001D6958">
        <w:rPr>
          <w:rStyle w:val="TOC-SubHead"/>
          <w:i/>
          <w:iCs/>
          <w:sz w:val="20"/>
          <w:szCs w:val="20"/>
        </w:rPr>
        <w:t>19</w:t>
      </w:r>
    </w:p>
    <w:p w:rsidR="00067D76" w:rsidRPr="002C0B6D" w:rsidRDefault="00067D76" w:rsidP="00067D76">
      <w:pPr>
        <w:pStyle w:val="TOC-LEVEL1"/>
        <w:rPr>
          <w:sz w:val="20"/>
          <w:szCs w:val="20"/>
        </w:rPr>
      </w:pPr>
      <w:r w:rsidRPr="002C0B6D">
        <w:rPr>
          <w:sz w:val="20"/>
          <w:szCs w:val="20"/>
        </w:rPr>
        <w:t xml:space="preserve">Key Result Area 2 Our People </w:t>
      </w:r>
      <w:r w:rsidRPr="002C0B6D">
        <w:rPr>
          <w:sz w:val="20"/>
          <w:szCs w:val="20"/>
        </w:rPr>
        <w:tab/>
      </w:r>
      <w:r w:rsidRPr="002C0B6D">
        <w:rPr>
          <w:rStyle w:val="TOC-Heading0"/>
          <w:b w:val="0"/>
          <w:bCs w:val="0"/>
          <w:sz w:val="20"/>
          <w:szCs w:val="20"/>
        </w:rPr>
        <w:tab/>
      </w:r>
      <w:r w:rsidR="001D6958">
        <w:rPr>
          <w:rStyle w:val="TOC-Heading0"/>
          <w:sz w:val="20"/>
          <w:szCs w:val="20"/>
        </w:rPr>
        <w:t>19</w:t>
      </w:r>
    </w:p>
    <w:p w:rsidR="00067D76" w:rsidRPr="002C0B6D" w:rsidRDefault="00067D76" w:rsidP="00067D76">
      <w:pPr>
        <w:pStyle w:val="TOC-Level2"/>
        <w:rPr>
          <w:sz w:val="20"/>
          <w:szCs w:val="20"/>
        </w:rPr>
      </w:pPr>
      <w:r w:rsidRPr="002C0B6D">
        <w:rPr>
          <w:sz w:val="20"/>
          <w:szCs w:val="20"/>
        </w:rPr>
        <w:t>Staff Profile</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20</w:t>
      </w:r>
    </w:p>
    <w:p w:rsidR="00067D76" w:rsidRPr="002C0B6D" w:rsidRDefault="00067D76" w:rsidP="00067D76">
      <w:pPr>
        <w:pStyle w:val="TOC-LEVEL1"/>
        <w:rPr>
          <w:sz w:val="20"/>
          <w:szCs w:val="20"/>
        </w:rPr>
      </w:pPr>
      <w:r w:rsidRPr="002C0B6D">
        <w:rPr>
          <w:sz w:val="20"/>
          <w:szCs w:val="20"/>
        </w:rPr>
        <w:t xml:space="preserve">Key Result Area 3 </w:t>
      </w:r>
      <w:proofErr w:type="gramStart"/>
      <w:r w:rsidRPr="002C0B6D">
        <w:rPr>
          <w:sz w:val="20"/>
          <w:szCs w:val="20"/>
        </w:rPr>
        <w:t>The</w:t>
      </w:r>
      <w:proofErr w:type="gramEnd"/>
      <w:r w:rsidRPr="002C0B6D">
        <w:rPr>
          <w:sz w:val="20"/>
          <w:szCs w:val="20"/>
        </w:rPr>
        <w:t xml:space="preserve"> Organisation</w:t>
      </w:r>
      <w:r w:rsidRPr="002C0B6D">
        <w:rPr>
          <w:sz w:val="20"/>
          <w:szCs w:val="20"/>
        </w:rPr>
        <w:tab/>
      </w:r>
      <w:r w:rsidRPr="002C0B6D">
        <w:rPr>
          <w:rStyle w:val="TOC-Heading0"/>
          <w:b w:val="0"/>
          <w:bCs w:val="0"/>
          <w:sz w:val="20"/>
          <w:szCs w:val="20"/>
        </w:rPr>
        <w:tab/>
      </w:r>
      <w:r w:rsidR="001D6958">
        <w:rPr>
          <w:rStyle w:val="TOC-Heading0"/>
          <w:sz w:val="20"/>
          <w:szCs w:val="20"/>
        </w:rPr>
        <w:t>20</w:t>
      </w:r>
    </w:p>
    <w:p w:rsidR="00067D76" w:rsidRPr="002C0B6D" w:rsidRDefault="00067D76" w:rsidP="00067D76">
      <w:pPr>
        <w:pStyle w:val="TOC-Level2"/>
        <w:rPr>
          <w:sz w:val="20"/>
          <w:szCs w:val="20"/>
        </w:rPr>
      </w:pPr>
      <w:r w:rsidRPr="002C0B6D">
        <w:rPr>
          <w:sz w:val="20"/>
          <w:szCs w:val="20"/>
        </w:rPr>
        <w:t>Quality Management and Assurance</w:t>
      </w:r>
      <w:r w:rsidRPr="002C0B6D">
        <w:rPr>
          <w:sz w:val="20"/>
          <w:szCs w:val="20"/>
        </w:rPr>
        <w:tab/>
      </w:r>
      <w:r w:rsidRPr="002C0B6D">
        <w:rPr>
          <w:rStyle w:val="TOC-SubHead"/>
          <w:i/>
          <w:iCs/>
          <w:sz w:val="20"/>
          <w:szCs w:val="20"/>
        </w:rPr>
        <w:tab/>
      </w:r>
      <w:r w:rsidR="001D6958">
        <w:rPr>
          <w:rStyle w:val="TOC-SubHead"/>
          <w:i/>
          <w:iCs/>
          <w:sz w:val="20"/>
          <w:szCs w:val="20"/>
        </w:rPr>
        <w:t>20</w:t>
      </w:r>
    </w:p>
    <w:p w:rsidR="00067D76" w:rsidRPr="002C0B6D" w:rsidRDefault="001D6958" w:rsidP="002C0B6D">
      <w:pPr>
        <w:pStyle w:val="TOC-Level2"/>
        <w:tabs>
          <w:tab w:val="left" w:pos="4326"/>
        </w:tabs>
        <w:rPr>
          <w:sz w:val="20"/>
          <w:szCs w:val="20"/>
        </w:rPr>
      </w:pPr>
      <w:r>
        <w:rPr>
          <w:sz w:val="20"/>
          <w:szCs w:val="20"/>
        </w:rPr>
        <w:t xml:space="preserve">Financial </w:t>
      </w:r>
      <w:r w:rsidR="00067D76" w:rsidRPr="002C0B6D">
        <w:rPr>
          <w:sz w:val="20"/>
          <w:szCs w:val="20"/>
        </w:rPr>
        <w:t xml:space="preserve">Management </w:t>
      </w:r>
      <w:r w:rsidR="00067D76" w:rsidRPr="002C0B6D">
        <w:rPr>
          <w:rStyle w:val="TOC-SubHead"/>
          <w:i/>
          <w:iCs/>
          <w:sz w:val="20"/>
          <w:szCs w:val="20"/>
        </w:rPr>
        <w:tab/>
      </w:r>
      <w:r>
        <w:rPr>
          <w:rStyle w:val="TOC-SubHead"/>
          <w:i/>
          <w:iCs/>
          <w:sz w:val="20"/>
          <w:szCs w:val="20"/>
        </w:rPr>
        <w:t>20</w:t>
      </w:r>
    </w:p>
    <w:p w:rsidR="00067D76" w:rsidRPr="002C0B6D" w:rsidRDefault="00067D76" w:rsidP="00067D76">
      <w:pPr>
        <w:pStyle w:val="TOC-Level2"/>
        <w:rPr>
          <w:sz w:val="20"/>
          <w:szCs w:val="20"/>
        </w:rPr>
      </w:pPr>
      <w:r w:rsidRPr="002C0B6D">
        <w:rPr>
          <w:sz w:val="20"/>
          <w:szCs w:val="20"/>
        </w:rPr>
        <w:t>Stakeholder Communications</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20</w:t>
      </w:r>
    </w:p>
    <w:p w:rsidR="00067D76" w:rsidRPr="002C0B6D" w:rsidRDefault="00067D76" w:rsidP="00067D76">
      <w:pPr>
        <w:pStyle w:val="TOC-Level2"/>
        <w:rPr>
          <w:sz w:val="20"/>
          <w:szCs w:val="20"/>
        </w:rPr>
      </w:pPr>
      <w:r w:rsidRPr="002C0B6D">
        <w:rPr>
          <w:sz w:val="20"/>
          <w:szCs w:val="20"/>
        </w:rPr>
        <w:t>Structural reform</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21</w:t>
      </w:r>
    </w:p>
    <w:p w:rsidR="00067D76" w:rsidRPr="002C0B6D" w:rsidRDefault="00067D76" w:rsidP="00067D76">
      <w:pPr>
        <w:pStyle w:val="TOC-Level2"/>
        <w:rPr>
          <w:sz w:val="20"/>
          <w:szCs w:val="20"/>
        </w:rPr>
      </w:pPr>
      <w:r w:rsidRPr="002C0B6D">
        <w:rPr>
          <w:sz w:val="20"/>
          <w:szCs w:val="20"/>
        </w:rPr>
        <w:t>Information Systems and Technology</w:t>
      </w:r>
      <w:r w:rsidRPr="002C0B6D">
        <w:rPr>
          <w:sz w:val="20"/>
          <w:szCs w:val="20"/>
        </w:rPr>
        <w:tab/>
      </w:r>
      <w:r w:rsidRPr="002C0B6D">
        <w:rPr>
          <w:rStyle w:val="TOC-SubHead"/>
          <w:i/>
          <w:iCs/>
          <w:sz w:val="20"/>
          <w:szCs w:val="20"/>
        </w:rPr>
        <w:tab/>
      </w:r>
      <w:r w:rsidR="001D6958">
        <w:rPr>
          <w:rStyle w:val="TOC-SubHead"/>
          <w:i/>
          <w:iCs/>
          <w:sz w:val="20"/>
          <w:szCs w:val="20"/>
        </w:rPr>
        <w:t>21</w:t>
      </w:r>
    </w:p>
    <w:p w:rsidR="00067D76" w:rsidRPr="002C0B6D" w:rsidRDefault="001D6958" w:rsidP="00067D76">
      <w:pPr>
        <w:pStyle w:val="TOC-HEADING"/>
        <w:rPr>
          <w:sz w:val="20"/>
          <w:szCs w:val="20"/>
        </w:rPr>
      </w:pPr>
      <w:r>
        <w:rPr>
          <w:sz w:val="20"/>
          <w:szCs w:val="20"/>
        </w:rPr>
        <w:t xml:space="preserve">Disclosures and Legal Compliance </w:t>
      </w:r>
      <w:r>
        <w:rPr>
          <w:sz w:val="20"/>
          <w:szCs w:val="20"/>
        </w:rPr>
        <w:tab/>
      </w:r>
      <w:r>
        <w:rPr>
          <w:rStyle w:val="TOC-SectionHead"/>
          <w:b/>
          <w:bCs/>
          <w:caps/>
          <w:sz w:val="20"/>
          <w:szCs w:val="20"/>
        </w:rPr>
        <w:t>22</w:t>
      </w:r>
    </w:p>
    <w:p w:rsidR="00067D76" w:rsidRPr="002C0B6D" w:rsidRDefault="00067D76" w:rsidP="002C0B6D">
      <w:pPr>
        <w:pStyle w:val="TOC-LEVEL1"/>
        <w:tabs>
          <w:tab w:val="left" w:pos="4253"/>
        </w:tabs>
        <w:rPr>
          <w:sz w:val="20"/>
          <w:szCs w:val="20"/>
        </w:rPr>
      </w:pPr>
      <w:r w:rsidRPr="002C0B6D">
        <w:rPr>
          <w:sz w:val="20"/>
          <w:szCs w:val="20"/>
        </w:rPr>
        <w:t>Compliance with Relevant Legislation</w:t>
      </w:r>
      <w:r w:rsidRPr="002C0B6D">
        <w:rPr>
          <w:rStyle w:val="TOC-Heading0"/>
          <w:b w:val="0"/>
          <w:bCs w:val="0"/>
          <w:sz w:val="20"/>
          <w:szCs w:val="20"/>
        </w:rPr>
        <w:tab/>
      </w:r>
      <w:r w:rsidRPr="002C0B6D">
        <w:rPr>
          <w:rStyle w:val="TOC-Heading0"/>
          <w:b w:val="0"/>
          <w:bCs w:val="0"/>
          <w:sz w:val="20"/>
          <w:szCs w:val="20"/>
        </w:rPr>
        <w:tab/>
      </w:r>
      <w:r w:rsidR="001D6958">
        <w:rPr>
          <w:rStyle w:val="TOC-Heading0"/>
          <w:sz w:val="20"/>
          <w:szCs w:val="20"/>
        </w:rPr>
        <w:t>22</w:t>
      </w:r>
    </w:p>
    <w:p w:rsidR="00067D76" w:rsidRPr="002C0B6D" w:rsidRDefault="00067D76" w:rsidP="00067D76">
      <w:pPr>
        <w:pStyle w:val="TOC-Level2"/>
        <w:rPr>
          <w:sz w:val="20"/>
          <w:szCs w:val="20"/>
        </w:rPr>
      </w:pPr>
      <w:r w:rsidRPr="002C0B6D">
        <w:rPr>
          <w:sz w:val="20"/>
          <w:szCs w:val="20"/>
        </w:rPr>
        <w:t xml:space="preserve">Compliance with section 175ZE of the </w:t>
      </w:r>
      <w:r w:rsidRPr="002C0B6D">
        <w:rPr>
          <w:sz w:val="20"/>
          <w:szCs w:val="20"/>
        </w:rPr>
        <w:br/>
        <w:t>Electoral Act 1907</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23</w:t>
      </w:r>
    </w:p>
    <w:p w:rsidR="00067D76" w:rsidRPr="002C0B6D" w:rsidRDefault="00067D76" w:rsidP="00067D76">
      <w:pPr>
        <w:pStyle w:val="TOC-Level2"/>
        <w:rPr>
          <w:sz w:val="20"/>
          <w:szCs w:val="20"/>
        </w:rPr>
      </w:pPr>
      <w:r w:rsidRPr="002C0B6D">
        <w:rPr>
          <w:sz w:val="20"/>
          <w:szCs w:val="20"/>
        </w:rPr>
        <w:t xml:space="preserve">Compliance with section 31(1) of the </w:t>
      </w:r>
      <w:r w:rsidRPr="002C0B6D">
        <w:rPr>
          <w:sz w:val="20"/>
          <w:szCs w:val="20"/>
        </w:rPr>
        <w:tab/>
      </w:r>
      <w:r w:rsidRPr="002C0B6D">
        <w:rPr>
          <w:sz w:val="20"/>
          <w:szCs w:val="20"/>
        </w:rPr>
        <w:br/>
        <w:t>Public Sector Management Act 1994</w:t>
      </w:r>
      <w:r w:rsidRPr="002C0B6D">
        <w:rPr>
          <w:rStyle w:val="TOC-SubHead"/>
          <w:i/>
          <w:iCs/>
          <w:sz w:val="20"/>
          <w:szCs w:val="20"/>
        </w:rPr>
        <w:tab/>
      </w:r>
      <w:r w:rsidRPr="002C0B6D">
        <w:rPr>
          <w:rStyle w:val="TOC-SubHead"/>
          <w:i/>
          <w:iCs/>
          <w:sz w:val="20"/>
          <w:szCs w:val="20"/>
        </w:rPr>
        <w:tab/>
      </w:r>
      <w:r w:rsidR="001D6958">
        <w:rPr>
          <w:rStyle w:val="TOC-SubHead"/>
          <w:i/>
          <w:iCs/>
          <w:sz w:val="20"/>
          <w:szCs w:val="20"/>
        </w:rPr>
        <w:t>23</w:t>
      </w:r>
    </w:p>
    <w:p w:rsidR="00067D76" w:rsidRPr="002C0B6D" w:rsidRDefault="00067D76" w:rsidP="00067D76">
      <w:pPr>
        <w:pStyle w:val="TOC-Level2"/>
        <w:rPr>
          <w:sz w:val="20"/>
          <w:szCs w:val="20"/>
        </w:rPr>
      </w:pPr>
      <w:r w:rsidRPr="002C0B6D">
        <w:rPr>
          <w:sz w:val="20"/>
          <w:szCs w:val="20"/>
        </w:rPr>
        <w:t xml:space="preserve">Compliance with Public Sector Standards </w:t>
      </w:r>
      <w:r w:rsidRPr="002C0B6D">
        <w:rPr>
          <w:sz w:val="20"/>
          <w:szCs w:val="20"/>
        </w:rPr>
        <w:br/>
        <w:t>and Ethical Codes</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23</w:t>
      </w:r>
    </w:p>
    <w:p w:rsidR="00067D76" w:rsidRPr="002C0B6D" w:rsidRDefault="00067D76" w:rsidP="00067D76">
      <w:pPr>
        <w:pStyle w:val="TOC-Level2"/>
        <w:rPr>
          <w:sz w:val="20"/>
          <w:szCs w:val="20"/>
        </w:rPr>
      </w:pPr>
      <w:r w:rsidRPr="002C0B6D">
        <w:rPr>
          <w:sz w:val="20"/>
          <w:szCs w:val="20"/>
        </w:rPr>
        <w:t>Code of Conduct</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24</w:t>
      </w:r>
    </w:p>
    <w:p w:rsidR="00067D76" w:rsidRPr="002C0B6D" w:rsidRDefault="00067D76" w:rsidP="00067D76">
      <w:pPr>
        <w:pStyle w:val="TOC-Level2"/>
        <w:rPr>
          <w:sz w:val="20"/>
          <w:szCs w:val="20"/>
        </w:rPr>
      </w:pPr>
      <w:r w:rsidRPr="002C0B6D">
        <w:rPr>
          <w:sz w:val="20"/>
          <w:szCs w:val="20"/>
        </w:rPr>
        <w:t>Compliance Issues</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24</w:t>
      </w:r>
    </w:p>
    <w:p w:rsidR="00067D76" w:rsidRPr="002C0B6D" w:rsidRDefault="00067D76" w:rsidP="00067D76">
      <w:pPr>
        <w:pStyle w:val="TOC-Level2"/>
        <w:rPr>
          <w:sz w:val="20"/>
          <w:szCs w:val="20"/>
        </w:rPr>
      </w:pPr>
      <w:r w:rsidRPr="002C0B6D">
        <w:rPr>
          <w:sz w:val="20"/>
          <w:szCs w:val="20"/>
        </w:rPr>
        <w:t>Record Keeping Plan</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24</w:t>
      </w:r>
    </w:p>
    <w:p w:rsidR="00067D76" w:rsidRPr="002C0B6D" w:rsidRDefault="00067D76" w:rsidP="00067D76">
      <w:pPr>
        <w:pStyle w:val="TOC-LEVEL1"/>
        <w:rPr>
          <w:sz w:val="20"/>
          <w:szCs w:val="20"/>
        </w:rPr>
      </w:pPr>
      <w:r w:rsidRPr="002C0B6D">
        <w:rPr>
          <w:sz w:val="20"/>
          <w:szCs w:val="20"/>
        </w:rPr>
        <w:t>Government Policy Requirements</w:t>
      </w:r>
      <w:r w:rsidRPr="002C0B6D">
        <w:rPr>
          <w:rStyle w:val="TOC-Heading0"/>
          <w:b w:val="0"/>
          <w:bCs w:val="0"/>
          <w:sz w:val="20"/>
          <w:szCs w:val="20"/>
        </w:rPr>
        <w:tab/>
      </w:r>
      <w:r w:rsidRPr="002C0B6D">
        <w:rPr>
          <w:rStyle w:val="TOC-Heading0"/>
          <w:b w:val="0"/>
          <w:bCs w:val="0"/>
          <w:sz w:val="20"/>
          <w:szCs w:val="20"/>
        </w:rPr>
        <w:tab/>
      </w:r>
      <w:r w:rsidR="001D6958">
        <w:rPr>
          <w:rStyle w:val="TOC-Heading0"/>
          <w:sz w:val="20"/>
          <w:szCs w:val="20"/>
        </w:rPr>
        <w:t>24</w:t>
      </w:r>
    </w:p>
    <w:p w:rsidR="00067D76" w:rsidRPr="002C0B6D" w:rsidRDefault="00067D76" w:rsidP="00067D76">
      <w:pPr>
        <w:pStyle w:val="TOC-Level2"/>
        <w:rPr>
          <w:sz w:val="20"/>
          <w:szCs w:val="20"/>
        </w:rPr>
      </w:pPr>
      <w:r w:rsidRPr="002C0B6D">
        <w:rPr>
          <w:sz w:val="20"/>
          <w:szCs w:val="20"/>
        </w:rPr>
        <w:t>Substantive Equality</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24</w:t>
      </w:r>
    </w:p>
    <w:p w:rsidR="00067D76" w:rsidRPr="002C0B6D" w:rsidRDefault="001D6958" w:rsidP="00067D76">
      <w:pPr>
        <w:pStyle w:val="TOC-Level2"/>
        <w:rPr>
          <w:sz w:val="20"/>
          <w:szCs w:val="20"/>
        </w:rPr>
      </w:pPr>
      <w:r>
        <w:rPr>
          <w:spacing w:val="-2"/>
          <w:sz w:val="20"/>
          <w:szCs w:val="20"/>
        </w:rPr>
        <w:t xml:space="preserve">Occupational Safety, Health and </w:t>
      </w:r>
      <w:r w:rsidR="00067D76" w:rsidRPr="002C0B6D">
        <w:rPr>
          <w:spacing w:val="-2"/>
          <w:sz w:val="20"/>
          <w:szCs w:val="20"/>
        </w:rPr>
        <w:t>Injury Management</w:t>
      </w:r>
      <w:r w:rsidR="00067D76" w:rsidRPr="002C0B6D">
        <w:rPr>
          <w:rStyle w:val="TOC-SubHead"/>
          <w:i/>
          <w:iCs/>
          <w:sz w:val="20"/>
          <w:szCs w:val="20"/>
        </w:rPr>
        <w:tab/>
      </w:r>
      <w:r w:rsidR="00067D76" w:rsidRPr="002C0B6D">
        <w:rPr>
          <w:rStyle w:val="TOC-SubHead"/>
          <w:i/>
          <w:iCs/>
          <w:sz w:val="20"/>
          <w:szCs w:val="20"/>
        </w:rPr>
        <w:tab/>
      </w:r>
      <w:r w:rsidR="00067D76" w:rsidRPr="002C0B6D">
        <w:rPr>
          <w:rStyle w:val="TOC-SubHead"/>
          <w:i/>
          <w:iCs/>
          <w:sz w:val="20"/>
          <w:szCs w:val="20"/>
        </w:rPr>
        <w:tab/>
      </w:r>
      <w:r w:rsidR="00067D76" w:rsidRPr="002C0B6D">
        <w:rPr>
          <w:rStyle w:val="TOC-SubHead"/>
          <w:i/>
          <w:iCs/>
          <w:sz w:val="20"/>
          <w:szCs w:val="20"/>
        </w:rPr>
        <w:tab/>
      </w:r>
      <w:r>
        <w:rPr>
          <w:rStyle w:val="TOC-SubHead"/>
          <w:i/>
          <w:iCs/>
          <w:sz w:val="20"/>
          <w:szCs w:val="20"/>
        </w:rPr>
        <w:tab/>
      </w:r>
      <w:r>
        <w:rPr>
          <w:rStyle w:val="TOC-SubHead"/>
          <w:i/>
          <w:iCs/>
          <w:sz w:val="20"/>
          <w:szCs w:val="20"/>
        </w:rPr>
        <w:tab/>
        <w:t>24</w:t>
      </w:r>
    </w:p>
    <w:p w:rsidR="00067D76" w:rsidRPr="002C0B6D" w:rsidRDefault="00067D76" w:rsidP="00067D76">
      <w:pPr>
        <w:pStyle w:val="TOC-Level2"/>
        <w:rPr>
          <w:sz w:val="20"/>
          <w:szCs w:val="20"/>
        </w:rPr>
      </w:pPr>
      <w:proofErr w:type="spellStart"/>
      <w:r w:rsidRPr="002C0B6D">
        <w:rPr>
          <w:sz w:val="20"/>
          <w:szCs w:val="20"/>
        </w:rPr>
        <w:t>WorkSafe</w:t>
      </w:r>
      <w:proofErr w:type="spellEnd"/>
      <w:r w:rsidRPr="002C0B6D">
        <w:rPr>
          <w:sz w:val="20"/>
          <w:szCs w:val="20"/>
        </w:rPr>
        <w:t xml:space="preserve"> Plan</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25</w:t>
      </w:r>
    </w:p>
    <w:p w:rsidR="00067D76" w:rsidRPr="002C0B6D" w:rsidRDefault="00067D76" w:rsidP="002C0B6D">
      <w:pPr>
        <w:pStyle w:val="TOC-LEVEL1"/>
        <w:tabs>
          <w:tab w:val="left" w:pos="4312"/>
        </w:tabs>
        <w:rPr>
          <w:sz w:val="20"/>
          <w:szCs w:val="20"/>
        </w:rPr>
      </w:pPr>
      <w:r w:rsidRPr="002C0B6D">
        <w:rPr>
          <w:sz w:val="20"/>
          <w:szCs w:val="20"/>
        </w:rPr>
        <w:t>Governance and Other Financial Disclosures</w:t>
      </w:r>
      <w:r w:rsidRPr="002C0B6D">
        <w:rPr>
          <w:rStyle w:val="TOC-Heading0"/>
          <w:b w:val="0"/>
          <w:bCs w:val="0"/>
          <w:sz w:val="20"/>
          <w:szCs w:val="20"/>
        </w:rPr>
        <w:tab/>
      </w:r>
      <w:r w:rsidR="001D6958">
        <w:rPr>
          <w:rStyle w:val="TOC-Heading0"/>
          <w:sz w:val="20"/>
          <w:szCs w:val="20"/>
        </w:rPr>
        <w:t>25</w:t>
      </w:r>
    </w:p>
    <w:p w:rsidR="00067D76" w:rsidRPr="002C0B6D" w:rsidRDefault="00067D76" w:rsidP="00067D76">
      <w:pPr>
        <w:pStyle w:val="TOC-Level2"/>
        <w:rPr>
          <w:sz w:val="20"/>
          <w:szCs w:val="20"/>
        </w:rPr>
      </w:pPr>
      <w:r w:rsidRPr="002C0B6D">
        <w:rPr>
          <w:sz w:val="20"/>
          <w:szCs w:val="20"/>
        </w:rPr>
        <w:t>Ministerial Directives</w:t>
      </w:r>
      <w:r w:rsidRPr="002C0B6D">
        <w:rPr>
          <w:sz w:val="20"/>
          <w:szCs w:val="20"/>
        </w:rPr>
        <w:tab/>
      </w:r>
      <w:r w:rsidRPr="002C0B6D">
        <w:rPr>
          <w:sz w:val="20"/>
          <w:szCs w:val="20"/>
        </w:rPr>
        <w:tab/>
      </w:r>
      <w:r w:rsidRPr="002C0B6D">
        <w:rPr>
          <w:sz w:val="20"/>
          <w:szCs w:val="20"/>
        </w:rPr>
        <w:tab/>
      </w:r>
      <w:r w:rsidRPr="002C0B6D">
        <w:rPr>
          <w:rStyle w:val="TOC-SubHead"/>
          <w:i/>
          <w:iCs/>
          <w:sz w:val="20"/>
          <w:szCs w:val="20"/>
        </w:rPr>
        <w:tab/>
      </w:r>
      <w:r w:rsidR="001D6958">
        <w:rPr>
          <w:rStyle w:val="TOC-SubHead"/>
          <w:i/>
          <w:iCs/>
          <w:sz w:val="20"/>
          <w:szCs w:val="20"/>
        </w:rPr>
        <w:t>25</w:t>
      </w:r>
    </w:p>
    <w:p w:rsidR="00067D76" w:rsidRPr="002C0B6D" w:rsidRDefault="00067D76" w:rsidP="00067D76">
      <w:pPr>
        <w:pStyle w:val="TOC-Level2"/>
        <w:rPr>
          <w:sz w:val="20"/>
          <w:szCs w:val="20"/>
        </w:rPr>
      </w:pPr>
      <w:r w:rsidRPr="002C0B6D">
        <w:rPr>
          <w:sz w:val="20"/>
          <w:szCs w:val="20"/>
        </w:rPr>
        <w:t>Pricing Policies of Services Provided</w:t>
      </w:r>
      <w:r w:rsidRPr="002C0B6D">
        <w:rPr>
          <w:sz w:val="20"/>
          <w:szCs w:val="20"/>
        </w:rPr>
        <w:tab/>
      </w:r>
      <w:r w:rsidRPr="002C0B6D">
        <w:rPr>
          <w:rStyle w:val="TOC-SubHead"/>
          <w:i/>
          <w:iCs/>
          <w:sz w:val="20"/>
          <w:szCs w:val="20"/>
        </w:rPr>
        <w:tab/>
      </w:r>
      <w:r w:rsidR="001D6958">
        <w:rPr>
          <w:rStyle w:val="TOC-SubHead"/>
          <w:i/>
          <w:iCs/>
          <w:sz w:val="20"/>
          <w:szCs w:val="20"/>
        </w:rPr>
        <w:t>25</w:t>
      </w:r>
    </w:p>
    <w:p w:rsidR="00067D76" w:rsidRPr="002C0B6D" w:rsidRDefault="00067D76" w:rsidP="00067D76">
      <w:pPr>
        <w:pStyle w:val="TOC-Level2"/>
        <w:rPr>
          <w:sz w:val="20"/>
          <w:szCs w:val="20"/>
        </w:rPr>
      </w:pPr>
      <w:r w:rsidRPr="002C0B6D">
        <w:rPr>
          <w:sz w:val="20"/>
          <w:szCs w:val="20"/>
        </w:rPr>
        <w:t>Contracts with Senior Officers</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25</w:t>
      </w:r>
    </w:p>
    <w:p w:rsidR="00067D76" w:rsidRPr="002C0B6D" w:rsidRDefault="00067D76" w:rsidP="00067D76">
      <w:pPr>
        <w:pStyle w:val="TOC-Level2"/>
        <w:rPr>
          <w:sz w:val="20"/>
          <w:szCs w:val="20"/>
        </w:rPr>
      </w:pPr>
      <w:r w:rsidRPr="002C0B6D">
        <w:rPr>
          <w:sz w:val="20"/>
          <w:szCs w:val="20"/>
        </w:rPr>
        <w:t>Freedom of Information</w:t>
      </w:r>
      <w:r w:rsidRPr="002C0B6D">
        <w:rPr>
          <w:rStyle w:val="TOC-SubHead"/>
          <w:i/>
          <w:iCs/>
          <w:sz w:val="20"/>
          <w:szCs w:val="20"/>
        </w:rPr>
        <w:tab/>
      </w:r>
      <w:r w:rsidRPr="002C0B6D">
        <w:rPr>
          <w:rStyle w:val="TOC-SubHead"/>
          <w:i/>
          <w:iCs/>
          <w:sz w:val="20"/>
          <w:szCs w:val="20"/>
        </w:rPr>
        <w:tab/>
      </w:r>
      <w:r w:rsidRPr="002C0B6D">
        <w:rPr>
          <w:rStyle w:val="TOC-SubHead"/>
          <w:i/>
          <w:iCs/>
          <w:sz w:val="20"/>
          <w:szCs w:val="20"/>
        </w:rPr>
        <w:tab/>
      </w:r>
      <w:r w:rsidR="001D6958">
        <w:rPr>
          <w:rStyle w:val="TOC-SubHead"/>
          <w:i/>
          <w:iCs/>
          <w:sz w:val="20"/>
          <w:szCs w:val="20"/>
        </w:rPr>
        <w:t>25</w:t>
      </w:r>
    </w:p>
    <w:p w:rsidR="00067D76" w:rsidRPr="002C0B6D" w:rsidRDefault="00067D76" w:rsidP="00067D76">
      <w:pPr>
        <w:pStyle w:val="TOC-LEVEL1"/>
        <w:rPr>
          <w:sz w:val="20"/>
          <w:szCs w:val="20"/>
        </w:rPr>
      </w:pPr>
      <w:r w:rsidRPr="002C0B6D">
        <w:rPr>
          <w:sz w:val="20"/>
          <w:szCs w:val="20"/>
        </w:rPr>
        <w:t>Key Performance Indicators</w:t>
      </w:r>
      <w:r w:rsidRPr="002C0B6D">
        <w:rPr>
          <w:rStyle w:val="TOC-Heading0"/>
          <w:b w:val="0"/>
          <w:bCs w:val="0"/>
          <w:sz w:val="20"/>
          <w:szCs w:val="20"/>
        </w:rPr>
        <w:tab/>
      </w:r>
      <w:r w:rsidRPr="002C0B6D">
        <w:rPr>
          <w:rStyle w:val="TOC-Heading0"/>
          <w:b w:val="0"/>
          <w:bCs w:val="0"/>
          <w:sz w:val="20"/>
          <w:szCs w:val="20"/>
        </w:rPr>
        <w:tab/>
      </w:r>
      <w:r w:rsidRPr="002C0B6D">
        <w:rPr>
          <w:rStyle w:val="TOC-Heading0"/>
          <w:b w:val="0"/>
          <w:bCs w:val="0"/>
          <w:sz w:val="20"/>
          <w:szCs w:val="20"/>
        </w:rPr>
        <w:tab/>
      </w:r>
      <w:r w:rsidR="001D6958">
        <w:rPr>
          <w:rStyle w:val="TOC-Heading0"/>
          <w:sz w:val="20"/>
          <w:szCs w:val="20"/>
        </w:rPr>
        <w:t>26</w:t>
      </w:r>
    </w:p>
    <w:p w:rsidR="00067D76" w:rsidRPr="002C0B6D" w:rsidRDefault="00067D76" w:rsidP="00067D76">
      <w:pPr>
        <w:pStyle w:val="TOC-Level2"/>
        <w:rPr>
          <w:sz w:val="20"/>
          <w:szCs w:val="20"/>
        </w:rPr>
      </w:pPr>
      <w:r w:rsidRPr="002C0B6D">
        <w:rPr>
          <w:sz w:val="20"/>
          <w:szCs w:val="20"/>
        </w:rPr>
        <w:t xml:space="preserve">Certification of Key Performance Indicator </w:t>
      </w:r>
      <w:r w:rsidRPr="002C0B6D">
        <w:rPr>
          <w:rStyle w:val="TOC-SubHead"/>
          <w:i/>
          <w:iCs/>
          <w:sz w:val="20"/>
          <w:szCs w:val="20"/>
        </w:rPr>
        <w:tab/>
      </w:r>
      <w:r w:rsidR="001D6958">
        <w:rPr>
          <w:rStyle w:val="TOC-SubHead"/>
          <w:i/>
          <w:iCs/>
          <w:sz w:val="20"/>
          <w:szCs w:val="20"/>
        </w:rPr>
        <w:t>26</w:t>
      </w:r>
    </w:p>
    <w:p w:rsidR="00067D76" w:rsidRPr="002C0B6D" w:rsidRDefault="00067D76" w:rsidP="00067D76">
      <w:pPr>
        <w:pStyle w:val="TOC-LEVEL1"/>
        <w:rPr>
          <w:sz w:val="20"/>
          <w:szCs w:val="20"/>
        </w:rPr>
      </w:pPr>
      <w:r w:rsidRPr="002C0B6D">
        <w:rPr>
          <w:sz w:val="20"/>
          <w:szCs w:val="20"/>
        </w:rPr>
        <w:t>Key Performance Indicators</w:t>
      </w:r>
      <w:r w:rsidRPr="002C0B6D">
        <w:rPr>
          <w:rStyle w:val="TOC-Heading0"/>
          <w:b w:val="0"/>
          <w:bCs w:val="0"/>
          <w:sz w:val="20"/>
          <w:szCs w:val="20"/>
        </w:rPr>
        <w:tab/>
      </w:r>
      <w:r w:rsidRPr="002C0B6D">
        <w:rPr>
          <w:rStyle w:val="TOC-Heading0"/>
          <w:b w:val="0"/>
          <w:bCs w:val="0"/>
          <w:sz w:val="20"/>
          <w:szCs w:val="20"/>
        </w:rPr>
        <w:tab/>
      </w:r>
      <w:r w:rsidRPr="002C0B6D">
        <w:rPr>
          <w:rStyle w:val="TOC-Heading0"/>
          <w:b w:val="0"/>
          <w:bCs w:val="0"/>
          <w:sz w:val="20"/>
          <w:szCs w:val="20"/>
        </w:rPr>
        <w:tab/>
      </w:r>
      <w:r w:rsidR="001D6958">
        <w:rPr>
          <w:rStyle w:val="TOC-Heading0"/>
          <w:sz w:val="20"/>
          <w:szCs w:val="20"/>
        </w:rPr>
        <w:t>26</w:t>
      </w:r>
    </w:p>
    <w:p w:rsidR="00067D76" w:rsidRDefault="00067D76" w:rsidP="00067D76">
      <w:pPr>
        <w:pStyle w:val="TOC-Level2"/>
        <w:rPr>
          <w:rStyle w:val="TOC-SubHead"/>
          <w:i/>
          <w:iCs/>
          <w:sz w:val="20"/>
          <w:szCs w:val="20"/>
        </w:rPr>
      </w:pPr>
      <w:r w:rsidRPr="002C0B6D">
        <w:rPr>
          <w:sz w:val="20"/>
          <w:szCs w:val="20"/>
        </w:rPr>
        <w:t>Government Goal</w:t>
      </w:r>
      <w:r w:rsidRPr="002C0B6D">
        <w:rPr>
          <w:sz w:val="20"/>
          <w:szCs w:val="20"/>
        </w:rPr>
        <w:tab/>
      </w:r>
      <w:r w:rsidRPr="002C0B6D">
        <w:rPr>
          <w:sz w:val="20"/>
          <w:szCs w:val="20"/>
        </w:rPr>
        <w:tab/>
      </w:r>
      <w:r w:rsidRPr="002C0B6D">
        <w:rPr>
          <w:sz w:val="20"/>
          <w:szCs w:val="20"/>
        </w:rPr>
        <w:tab/>
      </w:r>
      <w:r w:rsidRPr="002C0B6D">
        <w:rPr>
          <w:rStyle w:val="TOC-SubHead"/>
          <w:i/>
          <w:iCs/>
          <w:sz w:val="20"/>
          <w:szCs w:val="20"/>
        </w:rPr>
        <w:tab/>
      </w:r>
      <w:r w:rsidR="001D6958">
        <w:rPr>
          <w:rStyle w:val="TOC-SubHead"/>
          <w:i/>
          <w:iCs/>
          <w:sz w:val="20"/>
          <w:szCs w:val="20"/>
        </w:rPr>
        <w:t>26</w:t>
      </w:r>
    </w:p>
    <w:p w:rsidR="001D6958" w:rsidRDefault="001D6958" w:rsidP="00067D76">
      <w:pPr>
        <w:pStyle w:val="TOC-Level2"/>
        <w:rPr>
          <w:rStyle w:val="TOC-SubHead"/>
          <w:i/>
          <w:iCs/>
          <w:sz w:val="20"/>
          <w:szCs w:val="20"/>
        </w:rPr>
      </w:pPr>
      <w:r>
        <w:rPr>
          <w:rStyle w:val="TOC-SubHead"/>
          <w:i/>
          <w:iCs/>
          <w:sz w:val="20"/>
          <w:szCs w:val="20"/>
        </w:rPr>
        <w:t>Desired Outcome</w:t>
      </w:r>
      <w:r>
        <w:rPr>
          <w:rStyle w:val="TOC-SubHead"/>
          <w:i/>
          <w:iCs/>
          <w:sz w:val="20"/>
          <w:szCs w:val="20"/>
        </w:rPr>
        <w:tab/>
      </w:r>
      <w:r>
        <w:rPr>
          <w:rStyle w:val="TOC-SubHead"/>
          <w:i/>
          <w:iCs/>
          <w:sz w:val="20"/>
          <w:szCs w:val="20"/>
        </w:rPr>
        <w:tab/>
      </w:r>
      <w:r>
        <w:rPr>
          <w:rStyle w:val="TOC-SubHead"/>
          <w:i/>
          <w:iCs/>
          <w:sz w:val="20"/>
          <w:szCs w:val="20"/>
        </w:rPr>
        <w:tab/>
      </w:r>
      <w:r>
        <w:rPr>
          <w:rStyle w:val="TOC-SubHead"/>
          <w:i/>
          <w:iCs/>
          <w:sz w:val="20"/>
          <w:szCs w:val="20"/>
        </w:rPr>
        <w:tab/>
        <w:t>26</w:t>
      </w:r>
    </w:p>
    <w:p w:rsidR="001D6958" w:rsidRPr="002C0B6D" w:rsidRDefault="001D6958" w:rsidP="00067D76">
      <w:pPr>
        <w:pStyle w:val="TOC-Level2"/>
        <w:rPr>
          <w:sz w:val="20"/>
          <w:szCs w:val="20"/>
        </w:rPr>
      </w:pPr>
      <w:r>
        <w:rPr>
          <w:rStyle w:val="TOC-SubHead"/>
          <w:i/>
          <w:iCs/>
          <w:sz w:val="20"/>
          <w:szCs w:val="20"/>
        </w:rPr>
        <w:t>Service</w:t>
      </w:r>
      <w:r>
        <w:rPr>
          <w:rStyle w:val="TOC-SubHead"/>
          <w:i/>
          <w:iCs/>
          <w:sz w:val="20"/>
          <w:szCs w:val="20"/>
        </w:rPr>
        <w:tab/>
      </w:r>
      <w:r>
        <w:rPr>
          <w:rStyle w:val="TOC-SubHead"/>
          <w:i/>
          <w:iCs/>
          <w:sz w:val="20"/>
          <w:szCs w:val="20"/>
        </w:rPr>
        <w:tab/>
      </w:r>
      <w:r>
        <w:rPr>
          <w:rStyle w:val="TOC-SubHead"/>
          <w:i/>
          <w:iCs/>
          <w:sz w:val="20"/>
          <w:szCs w:val="20"/>
        </w:rPr>
        <w:tab/>
      </w:r>
      <w:r>
        <w:rPr>
          <w:rStyle w:val="TOC-SubHead"/>
          <w:i/>
          <w:iCs/>
          <w:sz w:val="20"/>
          <w:szCs w:val="20"/>
        </w:rPr>
        <w:tab/>
      </w:r>
      <w:r>
        <w:rPr>
          <w:rStyle w:val="TOC-SubHead"/>
          <w:i/>
          <w:iCs/>
          <w:sz w:val="20"/>
          <w:szCs w:val="20"/>
        </w:rPr>
        <w:tab/>
        <w:t>26</w:t>
      </w:r>
    </w:p>
    <w:p w:rsidR="00067D76" w:rsidRDefault="00067D76" w:rsidP="00067D76">
      <w:pPr>
        <w:pStyle w:val="TOC-HEADING"/>
        <w:rPr>
          <w:sz w:val="20"/>
          <w:szCs w:val="20"/>
        </w:rPr>
      </w:pPr>
      <w:r w:rsidRPr="002C0B6D">
        <w:rPr>
          <w:sz w:val="20"/>
          <w:szCs w:val="20"/>
        </w:rPr>
        <w:t>Financial Statements</w:t>
      </w:r>
      <w:r w:rsidRPr="002C0B6D">
        <w:rPr>
          <w:rStyle w:val="TOC-SectionHead"/>
          <w:b/>
          <w:bCs/>
          <w:caps/>
          <w:sz w:val="20"/>
          <w:szCs w:val="20"/>
        </w:rPr>
        <w:tab/>
      </w:r>
      <w:r w:rsidRPr="002C0B6D">
        <w:rPr>
          <w:rStyle w:val="TOC-SectionHead"/>
          <w:b/>
          <w:bCs/>
          <w:caps/>
          <w:sz w:val="20"/>
          <w:szCs w:val="20"/>
        </w:rPr>
        <w:tab/>
      </w:r>
      <w:r w:rsidRPr="002C0B6D">
        <w:rPr>
          <w:rStyle w:val="TOC-SectionHead"/>
          <w:b/>
          <w:bCs/>
          <w:caps/>
          <w:sz w:val="20"/>
          <w:szCs w:val="20"/>
        </w:rPr>
        <w:tab/>
      </w:r>
      <w:r w:rsidR="001D6958">
        <w:rPr>
          <w:rStyle w:val="TOC-SectionHead"/>
          <w:b/>
          <w:bCs/>
          <w:caps/>
          <w:sz w:val="20"/>
          <w:szCs w:val="20"/>
        </w:rPr>
        <w:t>28</w:t>
      </w:r>
      <w:bookmarkStart w:id="0" w:name="_GoBack"/>
      <w:bookmarkEnd w:id="0"/>
    </w:p>
    <w:p w:rsidR="001D6958" w:rsidRDefault="001D6958" w:rsidP="00067D76">
      <w:pPr>
        <w:pStyle w:val="TOC-HEADING"/>
        <w:rPr>
          <w:sz w:val="20"/>
          <w:szCs w:val="20"/>
        </w:rPr>
      </w:pPr>
    </w:p>
    <w:p w:rsidR="001D6958" w:rsidRPr="002C0B6D" w:rsidRDefault="001D6958" w:rsidP="00067D76">
      <w:pPr>
        <w:pStyle w:val="TOC-HEADING"/>
        <w:rPr>
          <w:sz w:val="20"/>
          <w:szCs w:val="20"/>
        </w:rPr>
        <w:sectPr w:rsidR="001D6958" w:rsidRPr="002C0B6D" w:rsidSect="00DE5DA3">
          <w:type w:val="continuous"/>
          <w:pgSz w:w="11906" w:h="16838"/>
          <w:pgMar w:top="720" w:right="720" w:bottom="720" w:left="720" w:header="720" w:footer="720" w:gutter="0"/>
          <w:cols w:num="2" w:space="720"/>
          <w:noEndnote/>
        </w:sectPr>
      </w:pPr>
    </w:p>
    <w:p w:rsidR="00067D76" w:rsidRDefault="00067D76">
      <w:pPr>
        <w:rPr>
          <w:rFonts w:ascii="Arial" w:hAnsi="Arial" w:cs="Arial"/>
          <w:sz w:val="24"/>
          <w:szCs w:val="24"/>
        </w:rPr>
      </w:pPr>
      <w:r>
        <w:rPr>
          <w:rFonts w:ascii="Arial" w:hAnsi="Arial" w:cs="Arial"/>
          <w:sz w:val="24"/>
          <w:szCs w:val="24"/>
        </w:rPr>
        <w:lastRenderedPageBreak/>
        <w:br w:type="page"/>
      </w:r>
    </w:p>
    <w:p w:rsidR="00067D76" w:rsidRPr="00F73CE3" w:rsidRDefault="00067D76" w:rsidP="00F73CE3">
      <w:pPr>
        <w:pStyle w:val="Heading1AR"/>
      </w:pPr>
      <w:r w:rsidRPr="00F73CE3">
        <w:lastRenderedPageBreak/>
        <w:t>FOREWORD</w:t>
      </w:r>
    </w:p>
    <w:p w:rsidR="00067D76" w:rsidRPr="002C0B6D" w:rsidRDefault="00067D76" w:rsidP="00067D76">
      <w:pPr>
        <w:pStyle w:val="Intro"/>
        <w:rPr>
          <w:rFonts w:ascii="Arial" w:hAnsi="Arial" w:cs="Arial"/>
          <w:sz w:val="20"/>
          <w:szCs w:val="20"/>
        </w:rPr>
      </w:pPr>
      <w:r w:rsidRPr="002C0B6D">
        <w:rPr>
          <w:rFonts w:ascii="Arial" w:hAnsi="Arial" w:cs="Arial"/>
          <w:sz w:val="20"/>
          <w:szCs w:val="20"/>
        </w:rPr>
        <w:t xml:space="preserve">This is my first annual report as Western Australia’s Electoral Commissioner. </w:t>
      </w:r>
      <w:proofErr w:type="gramStart"/>
      <w:r w:rsidRPr="002C0B6D">
        <w:rPr>
          <w:rFonts w:ascii="Arial" w:hAnsi="Arial" w:cs="Arial"/>
          <w:sz w:val="20"/>
          <w:szCs w:val="20"/>
        </w:rPr>
        <w:t>Although  2014</w:t>
      </w:r>
      <w:proofErr w:type="gramEnd"/>
      <w:r w:rsidRPr="002C0B6D">
        <w:rPr>
          <w:rFonts w:ascii="Arial" w:hAnsi="Arial" w:cs="Arial"/>
          <w:sz w:val="20"/>
          <w:szCs w:val="20"/>
        </w:rPr>
        <w:t xml:space="preserve">–15 was a non-election year it was a busy and eventful one just the same, including a by-election for the Legislative Assembly District of </w:t>
      </w:r>
      <w:proofErr w:type="spellStart"/>
      <w:r w:rsidRPr="002C0B6D">
        <w:rPr>
          <w:rFonts w:ascii="Arial" w:hAnsi="Arial" w:cs="Arial"/>
          <w:sz w:val="20"/>
          <w:szCs w:val="20"/>
        </w:rPr>
        <w:t>Vasse</w:t>
      </w:r>
      <w:proofErr w:type="spellEnd"/>
      <w:r w:rsidRPr="002C0B6D">
        <w:rPr>
          <w:rFonts w:ascii="Arial" w:hAnsi="Arial" w:cs="Arial"/>
          <w:sz w:val="20"/>
          <w:szCs w:val="20"/>
        </w:rPr>
        <w:t xml:space="preserve"> and a recount to elect a new member for the North Metropolitan Legislative Council. </w:t>
      </w:r>
    </w:p>
    <w:p w:rsidR="00A32E32" w:rsidRPr="002C0B6D" w:rsidRDefault="00A32E32" w:rsidP="00067D76">
      <w:pPr>
        <w:rPr>
          <w:rFonts w:ascii="Arial" w:hAnsi="Arial" w:cs="Arial"/>
          <w:sz w:val="24"/>
          <w:szCs w:val="24"/>
        </w:rPr>
      </w:pPr>
    </w:p>
    <w:p w:rsidR="00067D76" w:rsidRPr="002C0B6D" w:rsidRDefault="00067D76" w:rsidP="00067D76">
      <w:pPr>
        <w:pStyle w:val="BC"/>
        <w:sectPr w:rsidR="00067D76" w:rsidRPr="002C0B6D" w:rsidSect="00DE5DA3">
          <w:type w:val="continuous"/>
          <w:pgSz w:w="11906" w:h="16838"/>
          <w:pgMar w:top="720" w:right="720" w:bottom="720" w:left="720" w:header="720" w:footer="720" w:gutter="0"/>
          <w:cols w:space="720"/>
          <w:noEndnote/>
        </w:sectPr>
      </w:pPr>
    </w:p>
    <w:p w:rsidR="00067D76" w:rsidRPr="002C0B6D" w:rsidRDefault="00067D76" w:rsidP="00067D76">
      <w:pPr>
        <w:pStyle w:val="BC"/>
        <w:rPr>
          <w:color w:val="auto"/>
          <w:sz w:val="20"/>
          <w:szCs w:val="20"/>
        </w:rPr>
      </w:pPr>
      <w:r w:rsidRPr="002C0B6D">
        <w:rPr>
          <w:color w:val="auto"/>
          <w:sz w:val="20"/>
          <w:szCs w:val="20"/>
        </w:rPr>
        <w:lastRenderedPageBreak/>
        <w:t xml:space="preserve">In addition, the Commission conducted referendums on the proposed amalgamation of a number of local governments </w:t>
      </w:r>
      <w:proofErr w:type="gramStart"/>
      <w:r w:rsidRPr="002C0B6D">
        <w:rPr>
          <w:color w:val="auto"/>
          <w:sz w:val="20"/>
          <w:szCs w:val="20"/>
        </w:rPr>
        <w:t>in</w:t>
      </w:r>
      <w:proofErr w:type="gramEnd"/>
      <w:r w:rsidRPr="002C0B6D">
        <w:rPr>
          <w:color w:val="auto"/>
          <w:sz w:val="20"/>
          <w:szCs w:val="20"/>
        </w:rPr>
        <w:t xml:space="preserve"> the metropolitan area and four by-elections for local councils, as well as providing support for the current re-division of electorates for the Western Australian Parliament. 33 elections were conducted for industrial and private organisations on a </w:t>
      </w:r>
      <w:r w:rsidRPr="002C0B6D">
        <w:rPr>
          <w:rStyle w:val="nonbreaking"/>
          <w:color w:val="auto"/>
          <w:sz w:val="20"/>
          <w:szCs w:val="20"/>
        </w:rPr>
        <w:t>fee-for-service</w:t>
      </w:r>
      <w:r w:rsidRPr="002C0B6D">
        <w:rPr>
          <w:color w:val="auto"/>
          <w:sz w:val="20"/>
          <w:szCs w:val="20"/>
        </w:rPr>
        <w:t xml:space="preserve"> basis.</w:t>
      </w:r>
    </w:p>
    <w:p w:rsidR="00067D76" w:rsidRPr="002C0B6D" w:rsidRDefault="00067D76" w:rsidP="00067D76">
      <w:pPr>
        <w:pStyle w:val="BC"/>
        <w:rPr>
          <w:color w:val="auto"/>
          <w:sz w:val="20"/>
          <w:szCs w:val="20"/>
        </w:rPr>
      </w:pPr>
      <w:r w:rsidRPr="002C0B6D">
        <w:rPr>
          <w:color w:val="auto"/>
          <w:sz w:val="20"/>
          <w:szCs w:val="20"/>
        </w:rPr>
        <w:t>This year’s report includes opinion pieces on some of the future challenges for our electoral system. Current electoral laws are not noticeably different from decades past and could be better attuned to modern lifestyles and technology. During the reporting period the Commission submitted for consideration proposals to provide Western Australian electors with more days and more ways of voting with a special emphasis on increasing access and voting secrecy for those with disabilities and making it easier for electors to be enrolled or have their enrolment details updated. The rise of new social media is the next challenge that </w:t>
      </w:r>
      <w:proofErr w:type="gramStart"/>
      <w:r w:rsidRPr="002C0B6D">
        <w:rPr>
          <w:color w:val="auto"/>
          <w:sz w:val="20"/>
          <w:szCs w:val="20"/>
        </w:rPr>
        <w:t>awaits</w:t>
      </w:r>
      <w:proofErr w:type="gramEnd"/>
      <w:r w:rsidRPr="002C0B6D">
        <w:rPr>
          <w:color w:val="auto"/>
          <w:sz w:val="20"/>
          <w:szCs w:val="20"/>
        </w:rPr>
        <w:t>.</w:t>
      </w:r>
    </w:p>
    <w:p w:rsidR="00067D76" w:rsidRPr="002C0B6D" w:rsidRDefault="00067D76" w:rsidP="00067D76">
      <w:pPr>
        <w:pStyle w:val="BC"/>
        <w:rPr>
          <w:color w:val="auto"/>
          <w:sz w:val="20"/>
          <w:szCs w:val="20"/>
        </w:rPr>
      </w:pPr>
      <w:r w:rsidRPr="002C0B6D">
        <w:rPr>
          <w:color w:val="auto"/>
          <w:sz w:val="20"/>
          <w:szCs w:val="20"/>
        </w:rPr>
        <w:t xml:space="preserve">Being State based the Commission was not involved in the 2013 Western Australian Senate election, but has still learned important lessons from that event in relation to ballot paper security and training of election officials. While the innate complexity of election management, the need to employ thousands of casual staff, strict time constraints and limits on resources all increase the possibility of error, the public has a legitimate expectation that elections that are so critical to democracy should be mistake-free. Commission staff worked assiduously over the past year to review initiatives adopted by our counterparts in other States in their recent elections. The task of improving and updating electoral procedures is </w:t>
      </w:r>
      <w:r w:rsidRPr="002C0B6D">
        <w:rPr>
          <w:rStyle w:val="nonbreaking"/>
          <w:color w:val="auto"/>
          <w:sz w:val="20"/>
          <w:szCs w:val="20"/>
        </w:rPr>
        <w:t>never-ending</w:t>
      </w:r>
      <w:r w:rsidRPr="002C0B6D">
        <w:rPr>
          <w:color w:val="auto"/>
          <w:sz w:val="20"/>
          <w:szCs w:val="20"/>
        </w:rPr>
        <w:t>.</w:t>
      </w:r>
    </w:p>
    <w:p w:rsidR="00067D76" w:rsidRPr="002C0B6D" w:rsidRDefault="00067D76" w:rsidP="00067D76">
      <w:pPr>
        <w:pStyle w:val="BC"/>
        <w:rPr>
          <w:color w:val="auto"/>
          <w:sz w:val="20"/>
          <w:szCs w:val="20"/>
        </w:rPr>
      </w:pPr>
      <w:r w:rsidRPr="002C0B6D">
        <w:rPr>
          <w:color w:val="auto"/>
          <w:sz w:val="20"/>
          <w:szCs w:val="20"/>
        </w:rPr>
        <w:t>To assist in meeting this challenge, the Commission is fortunate to have a large complement of experienced electoral staff and I take my hat off to them for the professionalism and commitment they have shown over the past year. We have a lot to get ready for in the year ahead, with the next round of local government elections soon upon us and the next State election scheduled for March 2017, but very keen and capable officers ready to meet the challenge.</w:t>
      </w:r>
    </w:p>
    <w:p w:rsidR="00067D76" w:rsidRPr="002C0B6D" w:rsidRDefault="00067D76" w:rsidP="00067D76">
      <w:pPr>
        <w:pStyle w:val="BC"/>
        <w:rPr>
          <w:color w:val="auto"/>
          <w:sz w:val="20"/>
          <w:szCs w:val="20"/>
        </w:rPr>
        <w:sectPr w:rsidR="00067D76" w:rsidRPr="002C0B6D" w:rsidSect="00271B0D">
          <w:type w:val="continuous"/>
          <w:pgSz w:w="11906" w:h="16838"/>
          <w:pgMar w:top="720" w:right="720" w:bottom="720" w:left="720" w:header="720" w:footer="720" w:gutter="0"/>
          <w:cols w:space="720"/>
          <w:noEndnote/>
        </w:sectPr>
      </w:pPr>
    </w:p>
    <w:p w:rsidR="00067D76" w:rsidRPr="002C0B6D" w:rsidRDefault="00067D76" w:rsidP="00067D76">
      <w:pPr>
        <w:pStyle w:val="BC"/>
        <w:rPr>
          <w:sz w:val="20"/>
          <w:szCs w:val="20"/>
        </w:rPr>
      </w:pPr>
      <w:r w:rsidRPr="002C0B6D">
        <w:rPr>
          <w:sz w:val="20"/>
          <w:szCs w:val="20"/>
        </w:rPr>
        <w:lastRenderedPageBreak/>
        <w:t xml:space="preserve"> </w:t>
      </w:r>
    </w:p>
    <w:p w:rsidR="00067D76" w:rsidRPr="002C0B6D" w:rsidRDefault="00067D76" w:rsidP="00067D76">
      <w:pPr>
        <w:pStyle w:val="BC"/>
        <w:rPr>
          <w:sz w:val="20"/>
          <w:szCs w:val="20"/>
        </w:rPr>
      </w:pPr>
    </w:p>
    <w:p w:rsidR="00067D76" w:rsidRPr="002C0B6D" w:rsidRDefault="00067D76" w:rsidP="00067D76">
      <w:pPr>
        <w:pStyle w:val="BC"/>
        <w:rPr>
          <w:sz w:val="20"/>
          <w:szCs w:val="20"/>
        </w:rPr>
      </w:pPr>
    </w:p>
    <w:p w:rsidR="00067D76" w:rsidRPr="002C0B6D" w:rsidRDefault="00067D76" w:rsidP="00067D76">
      <w:pPr>
        <w:pStyle w:val="BC"/>
        <w:rPr>
          <w:color w:val="auto"/>
          <w:sz w:val="20"/>
          <w:szCs w:val="20"/>
        </w:rPr>
      </w:pPr>
      <w:r w:rsidRPr="002C0B6D">
        <w:rPr>
          <w:b/>
          <w:bCs/>
          <w:color w:val="006198"/>
          <w:sz w:val="20"/>
          <w:szCs w:val="20"/>
        </w:rPr>
        <w:t>David Kerslake</w:t>
      </w:r>
      <w:r w:rsidRPr="002C0B6D">
        <w:rPr>
          <w:b/>
          <w:bCs/>
          <w:sz w:val="20"/>
          <w:szCs w:val="20"/>
        </w:rPr>
        <w:br/>
      </w:r>
      <w:r w:rsidRPr="002C0B6D">
        <w:rPr>
          <w:i/>
          <w:iCs/>
          <w:caps/>
          <w:color w:val="auto"/>
          <w:sz w:val="20"/>
          <w:szCs w:val="20"/>
        </w:rPr>
        <w:t>ELECTORAL COMMISSIONER</w:t>
      </w:r>
      <w:r w:rsidRPr="002C0B6D">
        <w:rPr>
          <w:color w:val="auto"/>
          <w:sz w:val="20"/>
          <w:szCs w:val="20"/>
        </w:rPr>
        <w:br/>
      </w:r>
    </w:p>
    <w:p w:rsidR="00067D76" w:rsidRPr="002C0B6D" w:rsidRDefault="00067D76">
      <w:pPr>
        <w:rPr>
          <w:rFonts w:ascii="Arial" w:hAnsi="Arial" w:cs="Arial"/>
          <w:sz w:val="24"/>
          <w:szCs w:val="24"/>
        </w:rPr>
      </w:pPr>
      <w:r w:rsidRPr="002C0B6D">
        <w:rPr>
          <w:rFonts w:ascii="Arial" w:hAnsi="Arial" w:cs="Arial"/>
          <w:sz w:val="24"/>
          <w:szCs w:val="24"/>
        </w:rPr>
        <w:br w:type="page"/>
      </w:r>
    </w:p>
    <w:p w:rsidR="00067D76" w:rsidRPr="00F73CE3" w:rsidRDefault="00067D76" w:rsidP="00067D76">
      <w:pPr>
        <w:pStyle w:val="Heading"/>
        <w:rPr>
          <w:rStyle w:val="Heading2ARblackChar"/>
        </w:rPr>
      </w:pPr>
      <w:r w:rsidRPr="00F73CE3">
        <w:rPr>
          <w:rStyle w:val="Heading2ARChar"/>
        </w:rPr>
        <w:lastRenderedPageBreak/>
        <w:t>INCREASING ELECTOR PARTICIPATION:</w:t>
      </w:r>
      <w:r w:rsidRPr="0041683D">
        <w:rPr>
          <w:rFonts w:ascii="Arial" w:hAnsi="Arial" w:cs="Arial"/>
        </w:rPr>
        <w:t xml:space="preserve"> </w:t>
      </w:r>
      <w:r w:rsidRPr="0041683D">
        <w:rPr>
          <w:rFonts w:ascii="Arial" w:hAnsi="Arial" w:cs="Arial"/>
        </w:rPr>
        <w:br/>
      </w:r>
      <w:r w:rsidRPr="00F73CE3">
        <w:rPr>
          <w:rStyle w:val="Heading2ARblackChar"/>
        </w:rPr>
        <w:t xml:space="preserve">A MATTER OF CONVENIENCE </w:t>
      </w:r>
    </w:p>
    <w:p w:rsidR="00067D76" w:rsidRPr="0041683D" w:rsidRDefault="00067D76" w:rsidP="00067D76">
      <w:pPr>
        <w:pStyle w:val="Intro"/>
        <w:rPr>
          <w:rFonts w:ascii="Arial" w:hAnsi="Arial" w:cs="Arial"/>
          <w:sz w:val="20"/>
          <w:szCs w:val="20"/>
        </w:rPr>
      </w:pPr>
      <w:r w:rsidRPr="0041683D">
        <w:rPr>
          <w:rFonts w:ascii="Arial" w:hAnsi="Arial" w:cs="Arial"/>
          <w:sz w:val="20"/>
          <w:szCs w:val="20"/>
        </w:rPr>
        <w:t>The most accurate measure of the strength of a democracy is the level of participation. Of all the ways that citizens can participate (petitions, demonstrations, the new social media, and so on)</w:t>
      </w:r>
      <w:proofErr w:type="gramStart"/>
      <w:r w:rsidRPr="0041683D">
        <w:rPr>
          <w:rFonts w:ascii="Arial" w:hAnsi="Arial" w:cs="Arial"/>
          <w:sz w:val="20"/>
          <w:szCs w:val="20"/>
        </w:rPr>
        <w:t>,</w:t>
      </w:r>
      <w:proofErr w:type="gramEnd"/>
      <w:r w:rsidRPr="0041683D">
        <w:rPr>
          <w:rFonts w:ascii="Arial" w:hAnsi="Arial" w:cs="Arial"/>
          <w:sz w:val="20"/>
          <w:szCs w:val="20"/>
        </w:rPr>
        <w:t xml:space="preserve"> voting in parliamentary elections is obviously the most critical. If the cornerstone of democracy is the right to vote, the key performance indicator is the number of citizens who exercise that right. </w:t>
      </w:r>
    </w:p>
    <w:p w:rsidR="00067D76" w:rsidRPr="0041683D" w:rsidRDefault="00067D76" w:rsidP="00067D76">
      <w:pPr>
        <w:pStyle w:val="BC"/>
      </w:pPr>
    </w:p>
    <w:p w:rsidR="00067D76" w:rsidRDefault="00067D76" w:rsidP="00067D76">
      <w:pPr>
        <w:pStyle w:val="BC"/>
        <w:sectPr w:rsidR="00067D76" w:rsidSect="00DE5DA3">
          <w:type w:val="continuous"/>
          <w:pgSz w:w="11906" w:h="16838"/>
          <w:pgMar w:top="720" w:right="720" w:bottom="720" w:left="720" w:header="720" w:footer="720" w:gutter="0"/>
          <w:cols w:space="720"/>
          <w:noEndnote/>
        </w:sectPr>
      </w:pPr>
    </w:p>
    <w:p w:rsidR="00067D76" w:rsidRPr="002C0B6D" w:rsidRDefault="00067D76" w:rsidP="00067D76">
      <w:pPr>
        <w:pStyle w:val="BC"/>
        <w:rPr>
          <w:color w:val="auto"/>
          <w:sz w:val="20"/>
          <w:szCs w:val="20"/>
        </w:rPr>
      </w:pPr>
      <w:r w:rsidRPr="002C0B6D">
        <w:rPr>
          <w:color w:val="auto"/>
          <w:sz w:val="20"/>
          <w:szCs w:val="20"/>
        </w:rPr>
        <w:lastRenderedPageBreak/>
        <w:t xml:space="preserve">It is a matter of serious concern that the proportion of Australian citizens who actually vote has declined in recent years. This may not be immediately obvious from published election statistics because the participation rate is typically recorded as a percentage of enrolled electors who turn out to vote (the reported 90 per cent plus participation rate in most Australian jurisdictions compares favourably with other world democracies). However, when you factor in the number of people who can’t vote because they are not actually enrolled, a less rosy picture appears. </w:t>
      </w:r>
    </w:p>
    <w:p w:rsidR="00067D76" w:rsidRPr="002C0B6D" w:rsidRDefault="00067D76" w:rsidP="00067D76">
      <w:pPr>
        <w:pStyle w:val="BC"/>
        <w:rPr>
          <w:color w:val="auto"/>
          <w:sz w:val="20"/>
          <w:szCs w:val="20"/>
        </w:rPr>
      </w:pPr>
      <w:r w:rsidRPr="002C0B6D">
        <w:rPr>
          <w:color w:val="auto"/>
          <w:sz w:val="20"/>
          <w:szCs w:val="20"/>
        </w:rPr>
        <w:t xml:space="preserve">In the lead up to the 2013 elections almost 1.5 million Australians were not enrolled despite being eligible, 170,000 in Western Australia alone. These ‘missing’ electors were not just 18 year olds intending to enrol and yet to get around to it, or electors whose enrolment had lapsed through failure to keep their address details up to date. Of particular concern, a high proportion were citizens aged between 30 and 50 who had never been enrolled, indicative of a conscious decision to opt out of the electoral system altogether. This should sound alarm bells: the historical high level of participation in Australian democracy is under siege. </w:t>
      </w:r>
    </w:p>
    <w:p w:rsidR="00067D76" w:rsidRPr="002C0B6D" w:rsidRDefault="00067D76" w:rsidP="00067D76">
      <w:pPr>
        <w:pStyle w:val="BC"/>
        <w:rPr>
          <w:color w:val="auto"/>
          <w:sz w:val="20"/>
          <w:szCs w:val="20"/>
        </w:rPr>
      </w:pPr>
      <w:r w:rsidRPr="002C0B6D">
        <w:rPr>
          <w:color w:val="auto"/>
          <w:sz w:val="20"/>
          <w:szCs w:val="20"/>
        </w:rPr>
        <w:t xml:space="preserve">Some maintain that the solution to this problem lies with individual citizens exercising their civic responsibility to enrol and vote. Others point out that declining enrolment levels could easily be addressed by using modern technology and reliable data sources to enrol electors directly upon turning 18 and updating their details automatically whenever they change address. The Commonwealth, New South Wales and Victorian parliaments have all gone down this path. There is no corresponding provision in Western Australian, however, resulting in a widening divergence between the Commonwealth and Western Australian electoral rolls. There are now around 115,000 Western Australians enrolled to vote for Federal elections but not for State, with the gap expected to increase to over 200,000 by the next State general election in 2017. </w:t>
      </w:r>
    </w:p>
    <w:p w:rsidR="00067D76" w:rsidRPr="002C0B6D" w:rsidRDefault="00067D76" w:rsidP="00067D76">
      <w:pPr>
        <w:pStyle w:val="BC"/>
        <w:rPr>
          <w:color w:val="auto"/>
          <w:sz w:val="20"/>
          <w:szCs w:val="20"/>
        </w:rPr>
      </w:pPr>
      <w:r w:rsidRPr="002C0B6D">
        <w:rPr>
          <w:color w:val="auto"/>
          <w:sz w:val="20"/>
          <w:szCs w:val="20"/>
        </w:rPr>
        <w:t xml:space="preserve">The choice, essentially, is between ‘civic responsibility’ and a depleted electoral roll, or direct enrolment and a more comprehensive and accurate one. While accepting that both approaches have a degree of merit, electoral administrators charged with responsibility to maximise democratic participation are finding it increasingly difficult to ignore the effectiveness of the direct enrolment system. </w:t>
      </w:r>
    </w:p>
    <w:p w:rsidR="00067D76" w:rsidRPr="002C0B6D" w:rsidRDefault="00067D76" w:rsidP="00067D76">
      <w:pPr>
        <w:rPr>
          <w:rFonts w:ascii="Arial" w:hAnsi="Arial" w:cs="Arial"/>
          <w:sz w:val="20"/>
          <w:szCs w:val="20"/>
        </w:rPr>
        <w:sectPr w:rsidR="00067D76" w:rsidRPr="002C0B6D" w:rsidSect="00271B0D">
          <w:type w:val="continuous"/>
          <w:pgSz w:w="11906" w:h="16838"/>
          <w:pgMar w:top="720" w:right="720" w:bottom="720" w:left="720" w:header="720" w:footer="720" w:gutter="0"/>
          <w:cols w:space="720"/>
          <w:noEndnote/>
        </w:sectPr>
      </w:pPr>
    </w:p>
    <w:p w:rsidR="00067D76" w:rsidRPr="002C0B6D" w:rsidRDefault="00067D76" w:rsidP="00067D76">
      <w:pPr>
        <w:rPr>
          <w:rFonts w:ascii="Arial" w:hAnsi="Arial" w:cs="Arial"/>
          <w:sz w:val="24"/>
          <w:szCs w:val="24"/>
        </w:rPr>
      </w:pPr>
      <w:r w:rsidRPr="002C0B6D">
        <w:rPr>
          <w:rFonts w:ascii="Arial" w:hAnsi="Arial" w:cs="Arial"/>
          <w:sz w:val="24"/>
          <w:szCs w:val="24"/>
        </w:rPr>
        <w:lastRenderedPageBreak/>
        <w:br w:type="page"/>
      </w:r>
    </w:p>
    <w:p w:rsidR="00067D76" w:rsidRPr="00672A12" w:rsidRDefault="00067D76" w:rsidP="00067D76">
      <w:pPr>
        <w:pStyle w:val="Heading"/>
        <w:rPr>
          <w:rStyle w:val="Heading2ARblackChar"/>
        </w:rPr>
      </w:pPr>
      <w:r w:rsidRPr="0041683D">
        <w:rPr>
          <w:rStyle w:val="Heading1ARChar"/>
          <w:rFonts w:ascii="Arial" w:hAnsi="Arial" w:cs="Arial"/>
        </w:rPr>
        <w:lastRenderedPageBreak/>
        <w:t>THE RISE OF SOCIAL MEDIA:</w:t>
      </w:r>
      <w:r w:rsidRPr="0041683D">
        <w:rPr>
          <w:rFonts w:ascii="Arial" w:hAnsi="Arial" w:cs="Arial"/>
        </w:rPr>
        <w:t xml:space="preserve"> </w:t>
      </w:r>
      <w:r w:rsidRPr="0041683D">
        <w:rPr>
          <w:rFonts w:ascii="Arial" w:hAnsi="Arial" w:cs="Arial"/>
        </w:rPr>
        <w:br/>
      </w:r>
      <w:r w:rsidRPr="00672A12">
        <w:rPr>
          <w:rStyle w:val="Heading2ARblackChar"/>
        </w:rPr>
        <w:t>A WHOLE NEW WORLD</w:t>
      </w:r>
    </w:p>
    <w:p w:rsidR="00067D76" w:rsidRPr="0041683D" w:rsidRDefault="00067D76" w:rsidP="00067D76">
      <w:pPr>
        <w:pStyle w:val="Intro"/>
        <w:rPr>
          <w:rFonts w:ascii="Arial" w:hAnsi="Arial" w:cs="Arial"/>
        </w:rPr>
      </w:pPr>
      <w:r w:rsidRPr="0041683D">
        <w:rPr>
          <w:rFonts w:ascii="Arial" w:hAnsi="Arial" w:cs="Arial"/>
        </w:rPr>
        <w:t>The prevalence of broadband internet access and the various forms of social media are leading to a democratisation of the media and mass communications, allowing much greater interactive engagement than is the case with conventional media. Consumers are increasingly talking back to the creators of the message and are in turn creating their own mass communications.</w:t>
      </w:r>
    </w:p>
    <w:p w:rsidR="00067D76" w:rsidRPr="002C0B6D" w:rsidRDefault="00067D76" w:rsidP="00067D76">
      <w:pPr>
        <w:pStyle w:val="BC"/>
        <w:rPr>
          <w:color w:val="auto"/>
        </w:rPr>
        <w:sectPr w:rsidR="00067D76" w:rsidRPr="002C0B6D" w:rsidSect="00DE5DA3">
          <w:type w:val="continuous"/>
          <w:pgSz w:w="11906" w:h="16838"/>
          <w:pgMar w:top="720" w:right="720" w:bottom="720" w:left="720" w:header="720" w:footer="720" w:gutter="0"/>
          <w:cols w:space="720"/>
          <w:noEndnote/>
        </w:sectPr>
      </w:pPr>
    </w:p>
    <w:p w:rsidR="00067D76" w:rsidRPr="002C0B6D" w:rsidRDefault="00067D76" w:rsidP="00067D76">
      <w:pPr>
        <w:pStyle w:val="BC"/>
        <w:rPr>
          <w:color w:val="auto"/>
          <w:sz w:val="20"/>
          <w:szCs w:val="20"/>
        </w:rPr>
      </w:pPr>
      <w:r w:rsidRPr="002C0B6D">
        <w:rPr>
          <w:color w:val="auto"/>
          <w:sz w:val="20"/>
          <w:szCs w:val="20"/>
        </w:rPr>
        <w:lastRenderedPageBreak/>
        <w:t xml:space="preserve">Presented with these new social media opportunities, the Commission has made a conscious decision to expand its use of online and social media, progressively changing the way it communicates with its diverse customer base. More resources are being devoted to online advertising and targeted engagement via social media platforms such as Facebook, Twitter and YouTube. From a value for money perspective, the reach that can be obtained from an organic or unpaid post on Facebook or a YouTube video that goes viral is immense. </w:t>
      </w:r>
    </w:p>
    <w:p w:rsidR="00067D76" w:rsidRPr="002C0B6D" w:rsidRDefault="00067D76" w:rsidP="00067D76">
      <w:pPr>
        <w:pStyle w:val="BC"/>
        <w:rPr>
          <w:color w:val="auto"/>
          <w:sz w:val="20"/>
          <w:szCs w:val="20"/>
        </w:rPr>
      </w:pPr>
      <w:r w:rsidRPr="002C0B6D">
        <w:rPr>
          <w:color w:val="auto"/>
          <w:sz w:val="20"/>
          <w:szCs w:val="20"/>
        </w:rPr>
        <w:t xml:space="preserve">Accordingly, our expenditure on advertising in more traditional forms of media such as newspapers is falling. We are finding that online and social media communications are more likely to hit their mark when it comes to difficult to reach cohorts such as electors in the 18-25 age group. Key election and enrolment information and reminders can be delivered and reinforced through the repeated use of consistent messages, iconography, imagery and videos. </w:t>
      </w:r>
    </w:p>
    <w:p w:rsidR="00067D76" w:rsidRPr="002C0B6D" w:rsidRDefault="00067D76" w:rsidP="00067D76">
      <w:pPr>
        <w:pStyle w:val="BC"/>
        <w:rPr>
          <w:color w:val="auto"/>
          <w:sz w:val="20"/>
          <w:szCs w:val="20"/>
        </w:rPr>
      </w:pPr>
      <w:r w:rsidRPr="002C0B6D">
        <w:rPr>
          <w:color w:val="auto"/>
          <w:sz w:val="20"/>
          <w:szCs w:val="20"/>
        </w:rPr>
        <w:t xml:space="preserve">For example during the reporting period: </w:t>
      </w:r>
    </w:p>
    <w:p w:rsidR="00067D76" w:rsidRPr="002C0B6D" w:rsidRDefault="00067D76" w:rsidP="00067D76">
      <w:pPr>
        <w:pStyle w:val="Tick"/>
        <w:numPr>
          <w:ilvl w:val="0"/>
          <w:numId w:val="1"/>
        </w:numPr>
        <w:rPr>
          <w:color w:val="auto"/>
          <w:sz w:val="20"/>
          <w:szCs w:val="20"/>
        </w:rPr>
      </w:pPr>
      <w:r w:rsidRPr="002C0B6D">
        <w:rPr>
          <w:color w:val="auto"/>
          <w:sz w:val="20"/>
          <w:szCs w:val="20"/>
        </w:rPr>
        <w:t xml:space="preserve">organic Facebook posts were used to help drive enrolment and encourage eligible electors to vote at the October </w:t>
      </w:r>
      <w:proofErr w:type="spellStart"/>
      <w:r w:rsidRPr="002C0B6D">
        <w:rPr>
          <w:color w:val="auto"/>
          <w:sz w:val="20"/>
          <w:szCs w:val="20"/>
        </w:rPr>
        <w:t>Vasse</w:t>
      </w:r>
      <w:proofErr w:type="spellEnd"/>
      <w:r w:rsidRPr="002C0B6D">
        <w:rPr>
          <w:color w:val="auto"/>
          <w:sz w:val="20"/>
          <w:szCs w:val="20"/>
        </w:rPr>
        <w:t xml:space="preserve"> by-election;</w:t>
      </w:r>
    </w:p>
    <w:p w:rsidR="00067D76" w:rsidRPr="002C0B6D" w:rsidRDefault="00067D76" w:rsidP="00067D76">
      <w:pPr>
        <w:pStyle w:val="Tick"/>
        <w:numPr>
          <w:ilvl w:val="0"/>
          <w:numId w:val="1"/>
        </w:numPr>
        <w:rPr>
          <w:color w:val="auto"/>
          <w:sz w:val="20"/>
          <w:szCs w:val="20"/>
        </w:rPr>
      </w:pPr>
      <w:r w:rsidRPr="002C0B6D">
        <w:rPr>
          <w:color w:val="auto"/>
          <w:sz w:val="20"/>
          <w:szCs w:val="20"/>
        </w:rPr>
        <w:t xml:space="preserve">the Commission promoted a range of community and youth events including NAIDOC week, Youth Parliament WA and the `Your State, Your Say’ youth forum; </w:t>
      </w:r>
    </w:p>
    <w:p w:rsidR="00067D76" w:rsidRPr="002C0B6D" w:rsidRDefault="00067D76" w:rsidP="00067D76">
      <w:pPr>
        <w:pStyle w:val="Tick"/>
        <w:numPr>
          <w:ilvl w:val="0"/>
          <w:numId w:val="1"/>
        </w:numPr>
        <w:rPr>
          <w:color w:val="auto"/>
          <w:sz w:val="20"/>
          <w:szCs w:val="20"/>
        </w:rPr>
      </w:pPr>
      <w:r w:rsidRPr="002C0B6D">
        <w:rPr>
          <w:color w:val="auto"/>
          <w:sz w:val="20"/>
          <w:szCs w:val="20"/>
        </w:rPr>
        <w:t>an enrolment drive was conducted in early March 2015;</w:t>
      </w:r>
    </w:p>
    <w:p w:rsidR="00067D76" w:rsidRPr="002C0B6D" w:rsidRDefault="00067D76" w:rsidP="00067D76">
      <w:pPr>
        <w:pStyle w:val="Tick"/>
        <w:numPr>
          <w:ilvl w:val="0"/>
          <w:numId w:val="1"/>
        </w:numPr>
        <w:rPr>
          <w:color w:val="auto"/>
          <w:sz w:val="20"/>
          <w:szCs w:val="20"/>
        </w:rPr>
      </w:pPr>
      <w:r w:rsidRPr="002C0B6D">
        <w:rPr>
          <w:color w:val="auto"/>
          <w:sz w:val="20"/>
          <w:szCs w:val="20"/>
        </w:rPr>
        <w:t xml:space="preserve">a YouTube video from the Commissioner announcing the 2015 review of the State’s electoral boundaries was clicked/viewed more than 100 times, shared a number of times, and reached an estimated </w:t>
      </w:r>
      <w:r w:rsidRPr="002C0B6D">
        <w:rPr>
          <w:color w:val="auto"/>
          <w:sz w:val="20"/>
          <w:szCs w:val="20"/>
        </w:rPr>
        <w:br/>
        <w:t>1,200 people; and</w:t>
      </w:r>
    </w:p>
    <w:p w:rsidR="00067D76" w:rsidRPr="002C0B6D" w:rsidRDefault="00067D76" w:rsidP="00067D76">
      <w:pPr>
        <w:pStyle w:val="Tick"/>
        <w:numPr>
          <w:ilvl w:val="0"/>
          <w:numId w:val="1"/>
        </w:numPr>
        <w:rPr>
          <w:color w:val="auto"/>
          <w:sz w:val="20"/>
          <w:szCs w:val="20"/>
        </w:rPr>
      </w:pPr>
      <w:proofErr w:type="gramStart"/>
      <w:r w:rsidRPr="002C0B6D">
        <w:rPr>
          <w:color w:val="auto"/>
          <w:sz w:val="20"/>
          <w:szCs w:val="20"/>
        </w:rPr>
        <w:t>a</w:t>
      </w:r>
      <w:proofErr w:type="gramEnd"/>
      <w:r w:rsidRPr="002C0B6D">
        <w:rPr>
          <w:color w:val="auto"/>
          <w:sz w:val="20"/>
          <w:szCs w:val="20"/>
        </w:rPr>
        <w:t xml:space="preserve"> post about Edith Cowan, the first woman to be elected to an Australian Parliament had a reach of over 1,300 and around 20 shares. </w:t>
      </w:r>
    </w:p>
    <w:p w:rsidR="00067D76" w:rsidRPr="002C0B6D" w:rsidRDefault="00067D76" w:rsidP="00067D76">
      <w:pPr>
        <w:pStyle w:val="BC"/>
        <w:rPr>
          <w:color w:val="auto"/>
          <w:sz w:val="20"/>
          <w:szCs w:val="20"/>
        </w:rPr>
      </w:pPr>
      <w:r w:rsidRPr="002C0B6D">
        <w:rPr>
          <w:color w:val="auto"/>
          <w:sz w:val="20"/>
          <w:szCs w:val="20"/>
        </w:rPr>
        <w:t xml:space="preserve">At the 2013 State general election the Commission used YouTube as the vehicle to host a video explaining the voting process to Deaf and hard of hearing electors for the first time. The previous capacity to reach such a large group of electors in a cost effective and user friendly manner was very limited. The Commission has also used social media as a means of attracting stakeholder feedback. For example, numerous members of the public have used social media to comment on proposed changes to electoral boundaries as part of the consultation program during the 2015 electoral distribution process. </w:t>
      </w:r>
    </w:p>
    <w:p w:rsidR="00067D76" w:rsidRPr="002C0B6D" w:rsidRDefault="00067D76" w:rsidP="00067D76">
      <w:pPr>
        <w:pStyle w:val="BC"/>
        <w:rPr>
          <w:color w:val="auto"/>
          <w:sz w:val="20"/>
          <w:szCs w:val="20"/>
        </w:rPr>
      </w:pPr>
      <w:r w:rsidRPr="002C0B6D">
        <w:rPr>
          <w:color w:val="auto"/>
          <w:sz w:val="20"/>
          <w:szCs w:val="20"/>
        </w:rPr>
        <w:t xml:space="preserve">While the rise of social media presents exciting new opportunities it also poses major challenges, both for electoral bodies and for the Parliament. For example under the Electoral Act it is an offence to distribute election material or place a political advertisement unless the material contains the name and address of the person who authorised it. The Commission is responsible for regulating such activity, which might be in the form of leaflets or print, broadcast and internet advertising. However, the current legislative provisions pre-date the emergence of social media. It is a moot point whether it is desirable or, indeed, even possible to regulate election material distributed through social media such as Twitter. It is one thing for electoral officials to check that leaflets or How to Vote cards have been duly authorised and round up and destroy those that haven’t, quite another to try to stem the distribution of unauthorised social media material that has already gone viral. There are also legitimate questions about how practicable it would be for the Parliament to require the authorisation of election material when Twitter feeds can only be 140 characters long. </w:t>
      </w:r>
    </w:p>
    <w:p w:rsidR="00067D76" w:rsidRPr="002C0B6D" w:rsidRDefault="00067D76" w:rsidP="00067D76">
      <w:pPr>
        <w:pStyle w:val="BC"/>
        <w:rPr>
          <w:color w:val="auto"/>
          <w:sz w:val="20"/>
          <w:szCs w:val="20"/>
        </w:rPr>
      </w:pPr>
      <w:r w:rsidRPr="002C0B6D">
        <w:rPr>
          <w:color w:val="auto"/>
          <w:sz w:val="20"/>
          <w:szCs w:val="20"/>
        </w:rPr>
        <w:t>The rise of social media also presents challenges for candidates and political parties. How does it appear, in the eyes of younger electors, to hand out How to Vote cards compared with an active social media presence?</w:t>
      </w:r>
    </w:p>
    <w:p w:rsidR="00067D76" w:rsidRPr="002C0B6D" w:rsidRDefault="00067D76" w:rsidP="00271B0D">
      <w:pPr>
        <w:pStyle w:val="BC"/>
        <w:rPr>
          <w:color w:val="auto"/>
          <w:sz w:val="20"/>
          <w:szCs w:val="20"/>
        </w:rPr>
      </w:pPr>
      <w:r w:rsidRPr="002C0B6D">
        <w:rPr>
          <w:color w:val="auto"/>
          <w:sz w:val="20"/>
          <w:szCs w:val="20"/>
        </w:rPr>
        <w:t xml:space="preserve">The obvious attraction of the social media is also a challenge to the conventional format for political </w:t>
      </w:r>
      <w:proofErr w:type="gramStart"/>
      <w:r w:rsidRPr="002C0B6D">
        <w:rPr>
          <w:color w:val="auto"/>
          <w:sz w:val="20"/>
          <w:szCs w:val="20"/>
        </w:rPr>
        <w:t>participation, that</w:t>
      </w:r>
      <w:proofErr w:type="gramEnd"/>
      <w:r w:rsidRPr="002C0B6D">
        <w:rPr>
          <w:color w:val="auto"/>
          <w:sz w:val="20"/>
          <w:szCs w:val="20"/>
        </w:rPr>
        <w:t xml:space="preserve"> is, voting. Younger electors seem more and more to prefer to have their say through online blogs rather than at the ballot box. Faced with this emerging reality, how long will it be before modern parliaments have to re-assess the means by which they foster democratic participation, not just in the way that elections are conducted, but by allowing electors to vote directly on individual policy issues? A whole new world </w:t>
      </w:r>
      <w:proofErr w:type="gramStart"/>
      <w:r w:rsidRPr="002C0B6D">
        <w:rPr>
          <w:color w:val="auto"/>
          <w:sz w:val="20"/>
          <w:szCs w:val="20"/>
        </w:rPr>
        <w:t>awaits</w:t>
      </w:r>
      <w:proofErr w:type="gramEnd"/>
      <w:r w:rsidRPr="002C0B6D">
        <w:rPr>
          <w:color w:val="auto"/>
          <w:sz w:val="20"/>
          <w:szCs w:val="20"/>
        </w:rPr>
        <w:t>.</w:t>
      </w:r>
    </w:p>
    <w:p w:rsidR="00067D76" w:rsidRPr="00F73CE3" w:rsidRDefault="00067D76" w:rsidP="00F73CE3">
      <w:pPr>
        <w:pStyle w:val="Heading1AR"/>
      </w:pPr>
      <w:r w:rsidRPr="00F73CE3">
        <w:lastRenderedPageBreak/>
        <w:t>About us</w:t>
      </w:r>
    </w:p>
    <w:p w:rsidR="00FA69B7" w:rsidRPr="0041683D" w:rsidRDefault="00FA69B7" w:rsidP="00FA69B7">
      <w:pPr>
        <w:pStyle w:val="BC"/>
        <w:rPr>
          <w:color w:val="BB8C0A"/>
          <w:sz w:val="35"/>
          <w:szCs w:val="35"/>
        </w:rPr>
        <w:sectPr w:rsidR="00FA69B7" w:rsidRPr="0041683D" w:rsidSect="00271B0D">
          <w:type w:val="continuous"/>
          <w:pgSz w:w="11906" w:h="16838"/>
          <w:pgMar w:top="720" w:right="720" w:bottom="720" w:left="720" w:header="720" w:footer="720" w:gutter="0"/>
          <w:cols w:space="720"/>
          <w:noEndnote/>
        </w:sectPr>
      </w:pPr>
    </w:p>
    <w:p w:rsidR="00FA69B7" w:rsidRPr="0041683D" w:rsidRDefault="00FA69B7" w:rsidP="00F73CE3">
      <w:pPr>
        <w:pStyle w:val="Heading2ARtitlecase"/>
      </w:pPr>
      <w:r w:rsidRPr="0041683D">
        <w:lastRenderedPageBreak/>
        <w:t>Who we are</w:t>
      </w:r>
    </w:p>
    <w:p w:rsidR="00FA69B7" w:rsidRPr="0041683D" w:rsidRDefault="00FA69B7" w:rsidP="00FA69B7">
      <w:pPr>
        <w:pStyle w:val="BC"/>
        <w:rPr>
          <w:caps/>
          <w:color w:val="auto"/>
          <w:sz w:val="20"/>
          <w:szCs w:val="20"/>
        </w:rPr>
      </w:pPr>
      <w:r w:rsidRPr="0041683D">
        <w:rPr>
          <w:color w:val="auto"/>
          <w:sz w:val="20"/>
          <w:szCs w:val="20"/>
        </w:rPr>
        <w:t xml:space="preserve">The Western Australian Electoral Commission is an independent body responsible for the impartial conduct of elections and polls as part of Western Australia’s democratic process. The Commission employs </w:t>
      </w:r>
      <w:r w:rsidRPr="0041683D">
        <w:rPr>
          <w:color w:val="auto"/>
          <w:sz w:val="20"/>
          <w:szCs w:val="20"/>
        </w:rPr>
        <w:br/>
        <w:t>50 staff and h</w:t>
      </w:r>
      <w:r w:rsidR="002C0B6D" w:rsidRPr="0041683D">
        <w:rPr>
          <w:color w:val="auto"/>
          <w:sz w:val="20"/>
          <w:szCs w:val="20"/>
        </w:rPr>
        <w:t xml:space="preserve">as an average annual budget of </w:t>
      </w:r>
      <w:r w:rsidRPr="0041683D">
        <w:rPr>
          <w:color w:val="auto"/>
          <w:sz w:val="20"/>
          <w:szCs w:val="20"/>
        </w:rPr>
        <w:t>around $8 million in a non-election year.</w:t>
      </w:r>
    </w:p>
    <w:p w:rsidR="00FA69B7" w:rsidRPr="0041683D" w:rsidRDefault="00FA69B7" w:rsidP="00F73CE3">
      <w:pPr>
        <w:pStyle w:val="Heading2ARtitlecase"/>
      </w:pPr>
      <w:r w:rsidRPr="0041683D">
        <w:t>What we do</w:t>
      </w:r>
    </w:p>
    <w:p w:rsidR="00FA69B7" w:rsidRPr="0041683D" w:rsidRDefault="00FA69B7" w:rsidP="002C0B6D">
      <w:pPr>
        <w:pStyle w:val="BC"/>
        <w:rPr>
          <w:color w:val="auto"/>
          <w:sz w:val="20"/>
          <w:szCs w:val="20"/>
        </w:rPr>
        <w:sectPr w:rsidR="00FA69B7" w:rsidRPr="0041683D" w:rsidSect="002C0B6D">
          <w:type w:val="continuous"/>
          <w:pgSz w:w="11906" w:h="16838"/>
          <w:pgMar w:top="720" w:right="720" w:bottom="720" w:left="720" w:header="720" w:footer="720" w:gutter="0"/>
          <w:cols w:space="720"/>
          <w:noEndnote/>
        </w:sectPr>
      </w:pPr>
      <w:r w:rsidRPr="0041683D">
        <w:rPr>
          <w:color w:val="auto"/>
          <w:sz w:val="20"/>
          <w:szCs w:val="20"/>
        </w:rPr>
        <w:t>The Commission’s primary roles are to conduct elections, maintain the electoral roll and raise public awareness of electoral matters, promoting trust by Western Australians in the competent and impartial c</w:t>
      </w:r>
      <w:r w:rsidR="002C0B6D" w:rsidRPr="0041683D">
        <w:rPr>
          <w:color w:val="auto"/>
          <w:sz w:val="20"/>
          <w:szCs w:val="20"/>
        </w:rPr>
        <w:t>onduct of all electoral events.</w:t>
      </w:r>
    </w:p>
    <w:p w:rsidR="00FA69B7" w:rsidRPr="0041683D" w:rsidRDefault="00FA69B7" w:rsidP="00F73CE3">
      <w:pPr>
        <w:pStyle w:val="Heading2ARtitlecase"/>
      </w:pPr>
      <w:r w:rsidRPr="0041683D">
        <w:lastRenderedPageBreak/>
        <w:t>Our Values</w:t>
      </w:r>
    </w:p>
    <w:p w:rsidR="00FA69B7" w:rsidRPr="0041683D" w:rsidRDefault="00FA69B7" w:rsidP="00FA69B7">
      <w:pPr>
        <w:pStyle w:val="BC"/>
        <w:rPr>
          <w:b/>
        </w:rPr>
        <w:sectPr w:rsidR="00FA69B7" w:rsidRPr="0041683D" w:rsidSect="002C0B6D">
          <w:type w:val="continuous"/>
          <w:pgSz w:w="11906" w:h="16838"/>
          <w:pgMar w:top="720" w:right="720" w:bottom="720" w:left="720" w:header="720" w:footer="720" w:gutter="0"/>
          <w:cols w:space="720"/>
          <w:noEndnote/>
        </w:sectPr>
      </w:pPr>
    </w:p>
    <w:p w:rsidR="00FA69B7" w:rsidRPr="0041683D" w:rsidRDefault="00FA69B7" w:rsidP="00FA69B7">
      <w:pPr>
        <w:pStyle w:val="BC"/>
        <w:rPr>
          <w:color w:val="auto"/>
          <w:sz w:val="20"/>
          <w:szCs w:val="20"/>
        </w:rPr>
      </w:pPr>
      <w:r w:rsidRPr="0041683D">
        <w:rPr>
          <w:b/>
          <w:color w:val="auto"/>
          <w:sz w:val="20"/>
          <w:szCs w:val="20"/>
        </w:rPr>
        <w:lastRenderedPageBreak/>
        <w:t>Independence</w:t>
      </w:r>
      <w:r w:rsidRPr="0041683D">
        <w:rPr>
          <w:color w:val="auto"/>
          <w:sz w:val="20"/>
          <w:szCs w:val="20"/>
        </w:rPr>
        <w:t xml:space="preserve"> </w:t>
      </w:r>
      <w:r w:rsidRPr="0041683D">
        <w:rPr>
          <w:i/>
          <w:iCs/>
          <w:color w:val="auto"/>
          <w:sz w:val="20"/>
          <w:szCs w:val="20"/>
        </w:rPr>
        <w:t>How we are perceived by others</w:t>
      </w:r>
      <w:r w:rsidRPr="0041683D">
        <w:rPr>
          <w:color w:val="auto"/>
          <w:sz w:val="20"/>
          <w:szCs w:val="20"/>
        </w:rPr>
        <w:br/>
      </w:r>
      <w:proofErr w:type="gramStart"/>
      <w:r w:rsidRPr="0041683D">
        <w:rPr>
          <w:color w:val="auto"/>
          <w:sz w:val="20"/>
          <w:szCs w:val="20"/>
        </w:rPr>
        <w:t>We</w:t>
      </w:r>
      <w:proofErr w:type="gramEnd"/>
      <w:r w:rsidRPr="0041683D">
        <w:rPr>
          <w:color w:val="auto"/>
          <w:sz w:val="20"/>
          <w:szCs w:val="20"/>
        </w:rPr>
        <w:t xml:space="preserve"> act at all times with integrity, independence, impartiality and transparency</w:t>
      </w:r>
    </w:p>
    <w:p w:rsidR="00FA69B7" w:rsidRPr="0041683D" w:rsidRDefault="00FA69B7" w:rsidP="00FA69B7">
      <w:pPr>
        <w:pStyle w:val="BC"/>
        <w:rPr>
          <w:color w:val="auto"/>
          <w:sz w:val="20"/>
          <w:szCs w:val="20"/>
        </w:rPr>
      </w:pPr>
      <w:r w:rsidRPr="0041683D">
        <w:rPr>
          <w:b/>
          <w:color w:val="auto"/>
          <w:sz w:val="20"/>
          <w:szCs w:val="20"/>
        </w:rPr>
        <w:t>Professionalism</w:t>
      </w:r>
      <w:r w:rsidRPr="0041683D">
        <w:rPr>
          <w:color w:val="auto"/>
          <w:sz w:val="20"/>
          <w:szCs w:val="20"/>
        </w:rPr>
        <w:t xml:space="preserve"> </w:t>
      </w:r>
      <w:r w:rsidRPr="0041683D">
        <w:rPr>
          <w:i/>
          <w:iCs/>
          <w:color w:val="auto"/>
          <w:sz w:val="20"/>
          <w:szCs w:val="20"/>
        </w:rPr>
        <w:t>How we go about our work</w:t>
      </w:r>
      <w:r w:rsidRPr="0041683D">
        <w:rPr>
          <w:color w:val="auto"/>
          <w:sz w:val="20"/>
          <w:szCs w:val="20"/>
        </w:rPr>
        <w:br/>
      </w:r>
      <w:proofErr w:type="gramStart"/>
      <w:r w:rsidRPr="0041683D">
        <w:rPr>
          <w:color w:val="auto"/>
          <w:sz w:val="20"/>
          <w:szCs w:val="20"/>
        </w:rPr>
        <w:t>We</w:t>
      </w:r>
      <w:proofErr w:type="gramEnd"/>
      <w:r w:rsidRPr="0041683D">
        <w:rPr>
          <w:color w:val="auto"/>
          <w:sz w:val="20"/>
          <w:szCs w:val="20"/>
        </w:rPr>
        <w:t xml:space="preserve"> work to the highest standards by being ethical, accurate, reliable and efficient </w:t>
      </w:r>
    </w:p>
    <w:p w:rsidR="00FA69B7" w:rsidRPr="0041683D" w:rsidRDefault="00FA69B7" w:rsidP="00FA69B7">
      <w:pPr>
        <w:pStyle w:val="BC"/>
        <w:rPr>
          <w:color w:val="auto"/>
          <w:sz w:val="20"/>
          <w:szCs w:val="20"/>
        </w:rPr>
      </w:pPr>
      <w:r w:rsidRPr="0041683D">
        <w:rPr>
          <w:b/>
          <w:color w:val="auto"/>
          <w:sz w:val="20"/>
          <w:szCs w:val="20"/>
        </w:rPr>
        <w:t>Respect</w:t>
      </w:r>
      <w:r w:rsidRPr="0041683D">
        <w:rPr>
          <w:color w:val="auto"/>
          <w:sz w:val="20"/>
          <w:szCs w:val="20"/>
        </w:rPr>
        <w:t xml:space="preserve"> </w:t>
      </w:r>
      <w:r w:rsidRPr="0041683D">
        <w:rPr>
          <w:i/>
          <w:iCs/>
          <w:color w:val="auto"/>
          <w:sz w:val="20"/>
          <w:szCs w:val="20"/>
        </w:rPr>
        <w:t>How we treat others and expect to be treated</w:t>
      </w:r>
      <w:r w:rsidRPr="0041683D">
        <w:rPr>
          <w:color w:val="auto"/>
          <w:sz w:val="20"/>
          <w:szCs w:val="20"/>
        </w:rPr>
        <w:br/>
      </w:r>
      <w:proofErr w:type="gramStart"/>
      <w:r w:rsidRPr="0041683D">
        <w:rPr>
          <w:color w:val="auto"/>
          <w:sz w:val="20"/>
          <w:szCs w:val="20"/>
        </w:rPr>
        <w:t>We</w:t>
      </w:r>
      <w:proofErr w:type="gramEnd"/>
      <w:r w:rsidRPr="0041683D">
        <w:rPr>
          <w:color w:val="auto"/>
          <w:sz w:val="20"/>
          <w:szCs w:val="20"/>
        </w:rPr>
        <w:t xml:space="preserve"> focus on being courteous, honest and fair in all </w:t>
      </w:r>
      <w:r w:rsidRPr="0041683D">
        <w:rPr>
          <w:color w:val="auto"/>
          <w:sz w:val="20"/>
          <w:szCs w:val="20"/>
        </w:rPr>
        <w:br/>
        <w:t>our dealings</w:t>
      </w:r>
    </w:p>
    <w:p w:rsidR="00FA69B7" w:rsidRPr="0041683D" w:rsidRDefault="00FA69B7" w:rsidP="00FA69B7">
      <w:pPr>
        <w:pStyle w:val="BC"/>
        <w:rPr>
          <w:color w:val="auto"/>
          <w:sz w:val="20"/>
          <w:szCs w:val="20"/>
        </w:rPr>
      </w:pPr>
      <w:r w:rsidRPr="0041683D">
        <w:rPr>
          <w:b/>
          <w:color w:val="auto"/>
          <w:sz w:val="20"/>
          <w:szCs w:val="20"/>
        </w:rPr>
        <w:t>Customer Focus</w:t>
      </w:r>
      <w:r w:rsidRPr="0041683D">
        <w:rPr>
          <w:color w:val="auto"/>
          <w:sz w:val="20"/>
          <w:szCs w:val="20"/>
        </w:rPr>
        <w:t xml:space="preserve"> </w:t>
      </w:r>
      <w:r w:rsidRPr="0041683D">
        <w:rPr>
          <w:i/>
          <w:iCs/>
          <w:color w:val="auto"/>
          <w:sz w:val="20"/>
          <w:szCs w:val="20"/>
        </w:rPr>
        <w:t>How we deliver our services</w:t>
      </w:r>
      <w:r w:rsidRPr="0041683D">
        <w:rPr>
          <w:color w:val="auto"/>
          <w:sz w:val="20"/>
          <w:szCs w:val="20"/>
        </w:rPr>
        <w:br/>
      </w:r>
      <w:proofErr w:type="gramStart"/>
      <w:r w:rsidRPr="0041683D">
        <w:rPr>
          <w:color w:val="auto"/>
          <w:sz w:val="20"/>
          <w:szCs w:val="20"/>
        </w:rPr>
        <w:t>We</w:t>
      </w:r>
      <w:proofErr w:type="gramEnd"/>
      <w:r w:rsidRPr="0041683D">
        <w:rPr>
          <w:color w:val="auto"/>
          <w:sz w:val="20"/>
          <w:szCs w:val="20"/>
        </w:rPr>
        <w:t xml:space="preserve"> strive to understand customers’ needs, honour our commitments and </w:t>
      </w:r>
      <w:r w:rsidRPr="0041683D">
        <w:rPr>
          <w:rStyle w:val="BodyCopyChar"/>
          <w:color w:val="auto"/>
          <w:sz w:val="20"/>
          <w:szCs w:val="20"/>
        </w:rPr>
        <w:t>build effective relationships</w:t>
      </w:r>
      <w:r w:rsidRPr="0041683D">
        <w:rPr>
          <w:color w:val="auto"/>
          <w:sz w:val="20"/>
          <w:szCs w:val="20"/>
        </w:rPr>
        <w:t>, actively seeking feedback from clients and stakeholders</w:t>
      </w:r>
    </w:p>
    <w:p w:rsidR="00FA69B7" w:rsidRPr="0041683D" w:rsidRDefault="00FA69B7" w:rsidP="00FA69B7">
      <w:pPr>
        <w:pStyle w:val="BodyCopy"/>
        <w:rPr>
          <w:color w:val="auto"/>
          <w:sz w:val="20"/>
          <w:szCs w:val="20"/>
        </w:rPr>
      </w:pPr>
      <w:r w:rsidRPr="0041683D">
        <w:rPr>
          <w:b/>
          <w:color w:val="auto"/>
          <w:sz w:val="20"/>
          <w:szCs w:val="20"/>
        </w:rPr>
        <w:t>Innovation</w:t>
      </w:r>
      <w:r w:rsidRPr="0041683D">
        <w:rPr>
          <w:color w:val="auto"/>
          <w:sz w:val="20"/>
          <w:szCs w:val="20"/>
        </w:rPr>
        <w:t xml:space="preserve"> </w:t>
      </w:r>
      <w:r w:rsidRPr="0041683D">
        <w:rPr>
          <w:i/>
          <w:iCs/>
          <w:color w:val="auto"/>
          <w:sz w:val="20"/>
          <w:szCs w:val="20"/>
        </w:rPr>
        <w:t>How we move forward and work better</w:t>
      </w:r>
      <w:r w:rsidRPr="0041683D">
        <w:rPr>
          <w:color w:val="auto"/>
          <w:sz w:val="20"/>
          <w:szCs w:val="20"/>
        </w:rPr>
        <w:br/>
      </w:r>
      <w:proofErr w:type="gramStart"/>
      <w:r w:rsidRPr="0041683D">
        <w:rPr>
          <w:color w:val="auto"/>
          <w:sz w:val="20"/>
          <w:szCs w:val="20"/>
        </w:rPr>
        <w:t>We</w:t>
      </w:r>
      <w:proofErr w:type="gramEnd"/>
      <w:r w:rsidRPr="0041683D">
        <w:rPr>
          <w:color w:val="auto"/>
          <w:sz w:val="20"/>
          <w:szCs w:val="20"/>
        </w:rPr>
        <w:t xml:space="preserve"> are progressive and continually review our practices and procedures </w:t>
      </w:r>
    </w:p>
    <w:p w:rsidR="00067D76" w:rsidRPr="0041683D" w:rsidRDefault="00FA69B7" w:rsidP="00FA69B7">
      <w:pPr>
        <w:pStyle w:val="BodyCopy"/>
        <w:rPr>
          <w:color w:val="auto"/>
          <w:sz w:val="20"/>
          <w:szCs w:val="20"/>
        </w:rPr>
      </w:pPr>
      <w:r w:rsidRPr="0041683D">
        <w:rPr>
          <w:b/>
          <w:color w:val="auto"/>
          <w:sz w:val="20"/>
          <w:szCs w:val="20"/>
        </w:rPr>
        <w:t>Collaboration</w:t>
      </w:r>
      <w:r w:rsidRPr="0041683D">
        <w:rPr>
          <w:color w:val="auto"/>
          <w:sz w:val="20"/>
          <w:szCs w:val="20"/>
        </w:rPr>
        <w:t xml:space="preserve"> </w:t>
      </w:r>
      <w:r w:rsidRPr="0041683D">
        <w:rPr>
          <w:i/>
          <w:iCs/>
          <w:color w:val="auto"/>
          <w:sz w:val="20"/>
          <w:szCs w:val="20"/>
        </w:rPr>
        <w:t>How we work together and with others</w:t>
      </w:r>
      <w:r w:rsidRPr="0041683D">
        <w:rPr>
          <w:color w:val="auto"/>
          <w:sz w:val="20"/>
          <w:szCs w:val="20"/>
        </w:rPr>
        <w:br/>
      </w:r>
      <w:proofErr w:type="gramStart"/>
      <w:r w:rsidRPr="0041683D">
        <w:rPr>
          <w:color w:val="auto"/>
          <w:sz w:val="20"/>
          <w:szCs w:val="20"/>
        </w:rPr>
        <w:t>We</w:t>
      </w:r>
      <w:proofErr w:type="gramEnd"/>
      <w:r w:rsidRPr="0041683D">
        <w:rPr>
          <w:color w:val="auto"/>
          <w:sz w:val="20"/>
          <w:szCs w:val="20"/>
        </w:rPr>
        <w:t xml:space="preserve"> build a positive team environment and successful relationships with clients</w:t>
      </w:r>
    </w:p>
    <w:p w:rsidR="002C0B6D" w:rsidRPr="0041683D" w:rsidRDefault="002C0B6D" w:rsidP="00FA69B7">
      <w:pPr>
        <w:pStyle w:val="BodyCopy"/>
        <w:rPr>
          <w:sz w:val="20"/>
          <w:szCs w:val="20"/>
        </w:rPr>
        <w:sectPr w:rsidR="002C0B6D" w:rsidRPr="0041683D" w:rsidSect="002C0B6D">
          <w:type w:val="continuous"/>
          <w:pgSz w:w="11906" w:h="16838"/>
          <w:pgMar w:top="720" w:right="720" w:bottom="720" w:left="720" w:header="720" w:footer="720" w:gutter="0"/>
          <w:cols w:space="720"/>
          <w:noEndnote/>
        </w:sectPr>
      </w:pPr>
    </w:p>
    <w:p w:rsidR="00FA69B7" w:rsidRPr="0041683D" w:rsidRDefault="00FA69B7" w:rsidP="00FA69B7">
      <w:pPr>
        <w:pStyle w:val="BodyCopy"/>
        <w:rPr>
          <w:sz w:val="20"/>
          <w:szCs w:val="20"/>
        </w:rPr>
      </w:pPr>
      <w:r w:rsidRPr="0041683D">
        <w:rPr>
          <w:sz w:val="20"/>
          <w:szCs w:val="20"/>
        </w:rPr>
        <w:lastRenderedPageBreak/>
        <w:br w:type="page"/>
      </w:r>
    </w:p>
    <w:p w:rsidR="00FA69B7" w:rsidRPr="0090315D" w:rsidRDefault="00FA69B7" w:rsidP="00FA69B7">
      <w:pPr>
        <w:pStyle w:val="SectionHeading"/>
        <w:rPr>
          <w:sz w:val="20"/>
          <w:szCs w:val="20"/>
        </w:rPr>
        <w:sectPr w:rsidR="00FA69B7" w:rsidRPr="0090315D" w:rsidSect="00DE5DA3">
          <w:type w:val="continuous"/>
          <w:pgSz w:w="11906" w:h="16838"/>
          <w:pgMar w:top="720" w:right="720" w:bottom="720" w:left="720" w:header="720" w:footer="720" w:gutter="0"/>
          <w:cols w:num="2" w:space="720"/>
          <w:noEndnote/>
        </w:sectPr>
      </w:pPr>
    </w:p>
    <w:p w:rsidR="00FA69B7" w:rsidRPr="002C0B6D" w:rsidRDefault="00FA69B7" w:rsidP="00F73CE3">
      <w:pPr>
        <w:pStyle w:val="Heading1largeAR"/>
      </w:pPr>
      <w:r w:rsidRPr="002C0B6D">
        <w:lastRenderedPageBreak/>
        <w:t>Overview of Agency</w:t>
      </w:r>
    </w:p>
    <w:p w:rsidR="00FA69B7" w:rsidRPr="002C0B6D" w:rsidRDefault="00FA69B7" w:rsidP="00F73CE3">
      <w:pPr>
        <w:pStyle w:val="Heading2AR"/>
      </w:pPr>
      <w:r w:rsidRPr="002C0B6D">
        <w:t>Executive Summary</w:t>
      </w:r>
    </w:p>
    <w:p w:rsidR="00FA69B7" w:rsidRPr="002C0B6D" w:rsidRDefault="00FA69B7" w:rsidP="0090315D">
      <w:pPr>
        <w:pStyle w:val="Intro"/>
        <w:rPr>
          <w:rFonts w:ascii="Arial" w:hAnsi="Arial" w:cs="Arial"/>
          <w:sz w:val="20"/>
          <w:szCs w:val="20"/>
        </w:rPr>
      </w:pPr>
      <w:r w:rsidRPr="002C0B6D">
        <w:rPr>
          <w:rFonts w:ascii="Arial" w:hAnsi="Arial" w:cs="Arial"/>
          <w:sz w:val="20"/>
          <w:szCs w:val="20"/>
        </w:rPr>
        <w:t>As is obvious from its name, the Western Australian Electoral Commission’s primary function is to conduct elections. In addition to having statutory responsibility for State parliamentary elections and local government elections conducted by postal ballot, the Commission is entrusted with maintaining the State electoral roll and delivering electoral education and awareness services to the community. The Commission is also authorised to enter into agreements to conduct elections and ballots for private organisations on a fee for service basis.</w:t>
      </w:r>
    </w:p>
    <w:p w:rsidR="0041683D" w:rsidRDefault="00FA69B7" w:rsidP="0041683D">
      <w:pPr>
        <w:pStyle w:val="bc-bold"/>
        <w:rPr>
          <w:sz w:val="20"/>
          <w:szCs w:val="20"/>
        </w:rPr>
      </w:pPr>
      <w:r w:rsidRPr="002C0B6D">
        <w:rPr>
          <w:sz w:val="20"/>
          <w:szCs w:val="20"/>
        </w:rPr>
        <w:t>The Commission’s structure is bas</w:t>
      </w:r>
      <w:r w:rsidR="0041683D">
        <w:rPr>
          <w:sz w:val="20"/>
          <w:szCs w:val="20"/>
        </w:rPr>
        <w:t>ed on the following core areas.</w:t>
      </w:r>
    </w:p>
    <w:p w:rsidR="0041683D" w:rsidRDefault="0041683D" w:rsidP="0041683D">
      <w:pPr>
        <w:pStyle w:val="bc-bold"/>
        <w:sectPr w:rsidR="0041683D" w:rsidSect="0041683D">
          <w:type w:val="continuous"/>
          <w:pgSz w:w="11906" w:h="16838"/>
          <w:pgMar w:top="720" w:right="720" w:bottom="720" w:left="720" w:header="720" w:footer="720" w:gutter="0"/>
          <w:cols w:space="720"/>
          <w:noEndnote/>
        </w:sectPr>
      </w:pPr>
    </w:p>
    <w:p w:rsidR="00FA69B7" w:rsidRPr="0041683D" w:rsidRDefault="00FA69B7" w:rsidP="001D6958">
      <w:pPr>
        <w:pStyle w:val="Heading4AR"/>
      </w:pPr>
      <w:r w:rsidRPr="002C0B6D">
        <w:lastRenderedPageBreak/>
        <w:t xml:space="preserve">Election Operations </w:t>
      </w:r>
    </w:p>
    <w:p w:rsidR="00FA69B7" w:rsidRPr="0041683D" w:rsidRDefault="00FA69B7" w:rsidP="00FA69B7">
      <w:pPr>
        <w:pStyle w:val="BC"/>
        <w:rPr>
          <w:color w:val="auto"/>
          <w:sz w:val="20"/>
          <w:szCs w:val="20"/>
        </w:rPr>
      </w:pPr>
      <w:r w:rsidRPr="0041683D">
        <w:rPr>
          <w:color w:val="auto"/>
          <w:sz w:val="20"/>
          <w:szCs w:val="20"/>
        </w:rPr>
        <w:t>The Election Operations branch conducts State, local government and fee for service elections. The Enrolment and Education section of the branch manages the State electoral roll as well as conducting education and awareness activities for school and community groups.</w:t>
      </w:r>
    </w:p>
    <w:p w:rsidR="00FA69B7" w:rsidRPr="002C0B6D" w:rsidRDefault="00FA69B7" w:rsidP="00F73CE3">
      <w:pPr>
        <w:pStyle w:val="Heading4AR"/>
      </w:pPr>
      <w:r w:rsidRPr="002C0B6D">
        <w:t>Business Services</w:t>
      </w:r>
    </w:p>
    <w:p w:rsidR="00FA69B7" w:rsidRPr="0041683D" w:rsidRDefault="00FA69B7" w:rsidP="00FA69B7">
      <w:pPr>
        <w:pStyle w:val="BC"/>
        <w:rPr>
          <w:color w:val="auto"/>
          <w:sz w:val="20"/>
          <w:szCs w:val="20"/>
        </w:rPr>
      </w:pPr>
      <w:r w:rsidRPr="0041683D">
        <w:rPr>
          <w:color w:val="auto"/>
          <w:sz w:val="20"/>
          <w:szCs w:val="20"/>
        </w:rPr>
        <w:t xml:space="preserve">The Business Services branch manages key human resource, financial, legislative records, </w:t>
      </w:r>
      <w:proofErr w:type="gramStart"/>
      <w:r w:rsidRPr="0041683D">
        <w:rPr>
          <w:color w:val="auto"/>
          <w:sz w:val="20"/>
          <w:szCs w:val="20"/>
        </w:rPr>
        <w:t>policy</w:t>
      </w:r>
      <w:proofErr w:type="gramEnd"/>
      <w:r w:rsidRPr="0041683D">
        <w:rPr>
          <w:color w:val="auto"/>
          <w:sz w:val="20"/>
          <w:szCs w:val="20"/>
        </w:rPr>
        <w:t xml:space="preserve"> and training services in the Commission. The Commission has an ongoing operational budget of around $8 million administered by the branch.</w:t>
      </w:r>
    </w:p>
    <w:p w:rsidR="00FA69B7" w:rsidRPr="0041683D" w:rsidRDefault="00FA69B7" w:rsidP="00FA69B7">
      <w:pPr>
        <w:pStyle w:val="BC"/>
        <w:rPr>
          <w:color w:val="auto"/>
          <w:sz w:val="20"/>
          <w:szCs w:val="20"/>
        </w:rPr>
      </w:pPr>
      <w:r w:rsidRPr="0041683D">
        <w:rPr>
          <w:color w:val="auto"/>
          <w:sz w:val="20"/>
          <w:szCs w:val="20"/>
        </w:rPr>
        <w:t>With some staff retirements anticipated in the lead up to the next State general election, the branch is also responsible for conducting staff skills inventories and succession planning.</w:t>
      </w:r>
    </w:p>
    <w:p w:rsidR="00FA69B7" w:rsidRPr="002C0B6D" w:rsidRDefault="00FA69B7" w:rsidP="00F73CE3">
      <w:pPr>
        <w:pStyle w:val="Heading4AR"/>
      </w:pPr>
      <w:r w:rsidRPr="002C0B6D">
        <w:t>Information Technology</w:t>
      </w:r>
    </w:p>
    <w:p w:rsidR="00FA69B7" w:rsidRPr="0041683D" w:rsidRDefault="00FA69B7" w:rsidP="00FA69B7">
      <w:pPr>
        <w:pStyle w:val="BC"/>
        <w:rPr>
          <w:color w:val="auto"/>
          <w:sz w:val="20"/>
          <w:szCs w:val="20"/>
        </w:rPr>
      </w:pPr>
      <w:r w:rsidRPr="002C0B6D">
        <w:rPr>
          <w:sz w:val="20"/>
          <w:szCs w:val="20"/>
        </w:rPr>
        <w:t>I</w:t>
      </w:r>
      <w:r w:rsidRPr="0041683D">
        <w:rPr>
          <w:color w:val="auto"/>
          <w:sz w:val="20"/>
          <w:szCs w:val="20"/>
        </w:rPr>
        <w:t xml:space="preserve">n addition to providing support for the Commission’s internal computer and communication networks, the </w:t>
      </w:r>
      <w:r w:rsidRPr="0041683D">
        <w:rPr>
          <w:color w:val="auto"/>
          <w:sz w:val="20"/>
          <w:szCs w:val="20"/>
        </w:rPr>
        <w:br/>
        <w:t xml:space="preserve">IT branch plays a critical role in maintaining and upgrading the Commission’s election information platforms. Over the past 10 years every system has been (or is in the process of being) replaced, ensuring that the Commission remains abreast of the latest technology in the conduct of election operations. </w:t>
      </w:r>
    </w:p>
    <w:p w:rsidR="00FA69B7" w:rsidRPr="002C0B6D" w:rsidRDefault="00FA69B7" w:rsidP="00F73CE3">
      <w:pPr>
        <w:pStyle w:val="Heading4AR"/>
      </w:pPr>
      <w:r w:rsidRPr="002C0B6D">
        <w:t>Office of the Distribution Commissioners</w:t>
      </w:r>
    </w:p>
    <w:p w:rsidR="00FA69B7" w:rsidRPr="0041683D" w:rsidRDefault="00FA69B7" w:rsidP="0041683D">
      <w:pPr>
        <w:pStyle w:val="BC"/>
        <w:rPr>
          <w:color w:val="auto"/>
          <w:sz w:val="20"/>
          <w:szCs w:val="20"/>
        </w:rPr>
      </w:pPr>
      <w:r w:rsidRPr="0041683D">
        <w:rPr>
          <w:color w:val="auto"/>
          <w:sz w:val="20"/>
          <w:szCs w:val="20"/>
        </w:rPr>
        <w:t xml:space="preserve">The Electoral Act provides that the boundaries of Western Australia’s electoral districts and regions must be reviewed every four years, in time for the next State election. In line with the principle of ‘one vote, one value’, the overall aim is to keep the number of electors in each district as even as possible. The Office provides administrative support for the three Independent Distribution Commissioners. </w:t>
      </w:r>
    </w:p>
    <w:p w:rsidR="0041683D" w:rsidRPr="002C0B6D" w:rsidRDefault="0041683D" w:rsidP="00F73CE3">
      <w:pPr>
        <w:pStyle w:val="Heading4AR"/>
      </w:pPr>
      <w:r w:rsidRPr="002C0B6D">
        <w:t>Management Team</w:t>
      </w:r>
    </w:p>
    <w:p w:rsidR="0041683D" w:rsidRPr="0041683D" w:rsidRDefault="0041683D" w:rsidP="0041683D">
      <w:pPr>
        <w:pStyle w:val="BC"/>
        <w:rPr>
          <w:color w:val="auto"/>
          <w:sz w:val="20"/>
          <w:szCs w:val="20"/>
        </w:rPr>
      </w:pPr>
      <w:r w:rsidRPr="0041683D">
        <w:rPr>
          <w:color w:val="auto"/>
          <w:sz w:val="20"/>
          <w:szCs w:val="20"/>
        </w:rPr>
        <w:t xml:space="preserve">David Kerslake commenced as the Electoral Commissioner in September 2014. He has extensive electoral experience, having previously served as the Queensland Electoral Commissioner for 7 years and as Assistant Commissioner with the Australian Electoral Commission. He worked in Western Australia previously as Director of the Office of Health Review. </w:t>
      </w:r>
    </w:p>
    <w:p w:rsidR="0041683D" w:rsidRDefault="0041683D" w:rsidP="0041683D">
      <w:pPr>
        <w:pStyle w:val="BC"/>
        <w:rPr>
          <w:color w:val="auto"/>
          <w:sz w:val="20"/>
          <w:szCs w:val="20"/>
        </w:rPr>
      </w:pPr>
      <w:r w:rsidRPr="0041683D">
        <w:rPr>
          <w:color w:val="auto"/>
          <w:sz w:val="20"/>
          <w:szCs w:val="20"/>
        </w:rPr>
        <w:t xml:space="preserve">Chris Avent has held the position of Deputy Electoral Commissioner since October 2010. He also acted in the Electoral Commissioner position from May 2013 to September 2014. </w:t>
      </w:r>
    </w:p>
    <w:p w:rsidR="0041683D" w:rsidRDefault="0041683D" w:rsidP="0041683D">
      <w:pPr>
        <w:pStyle w:val="BC"/>
        <w:rPr>
          <w:color w:val="auto"/>
          <w:sz w:val="20"/>
          <w:szCs w:val="20"/>
        </w:rPr>
      </w:pPr>
    </w:p>
    <w:p w:rsidR="0041683D" w:rsidRDefault="0041683D" w:rsidP="0041683D">
      <w:pPr>
        <w:pStyle w:val="BC"/>
        <w:rPr>
          <w:color w:val="auto"/>
          <w:sz w:val="20"/>
          <w:szCs w:val="20"/>
        </w:rPr>
      </w:pPr>
    </w:p>
    <w:p w:rsidR="0041683D" w:rsidRDefault="0041683D" w:rsidP="0041683D">
      <w:pPr>
        <w:pStyle w:val="BC"/>
        <w:rPr>
          <w:sz w:val="20"/>
          <w:szCs w:val="20"/>
        </w:rPr>
        <w:sectPr w:rsidR="0041683D" w:rsidSect="00B149BC">
          <w:type w:val="continuous"/>
          <w:pgSz w:w="11906" w:h="16838"/>
          <w:pgMar w:top="720" w:right="720" w:bottom="720" w:left="720" w:header="720" w:footer="720" w:gutter="0"/>
          <w:cols w:space="720"/>
          <w:noEndnote/>
        </w:sectPr>
      </w:pPr>
    </w:p>
    <w:p w:rsidR="0041683D" w:rsidRDefault="0041683D" w:rsidP="0041683D">
      <w:pPr>
        <w:pStyle w:val="BC"/>
        <w:rPr>
          <w:sz w:val="20"/>
          <w:szCs w:val="20"/>
        </w:rPr>
      </w:pPr>
    </w:p>
    <w:p w:rsidR="0041683D" w:rsidRPr="0041683D" w:rsidRDefault="0041683D" w:rsidP="0041683D">
      <w:pPr>
        <w:pStyle w:val="BC"/>
        <w:rPr>
          <w:sz w:val="20"/>
          <w:szCs w:val="20"/>
        </w:rPr>
        <w:sectPr w:rsidR="0041683D" w:rsidRPr="0041683D" w:rsidSect="0041683D">
          <w:type w:val="continuous"/>
          <w:pgSz w:w="11906" w:h="16838"/>
          <w:pgMar w:top="720" w:right="720" w:bottom="720" w:left="720" w:header="720" w:footer="720" w:gutter="0"/>
          <w:cols w:space="720"/>
          <w:noEndnote/>
        </w:sectPr>
      </w:pPr>
    </w:p>
    <w:p w:rsidR="008A0474" w:rsidRPr="00050291" w:rsidRDefault="008A0474" w:rsidP="00F73CE3">
      <w:pPr>
        <w:pStyle w:val="Heading2AR"/>
      </w:pPr>
      <w:r w:rsidRPr="00050291">
        <w:lastRenderedPageBreak/>
        <w:t>Organisational Chart</w:t>
      </w:r>
    </w:p>
    <w:tbl>
      <w:tblPr>
        <w:tblW w:w="10173" w:type="dxa"/>
        <w:tblLook w:val="04A0" w:firstRow="1" w:lastRow="0" w:firstColumn="1" w:lastColumn="0" w:noHBand="0" w:noVBand="1"/>
      </w:tblPr>
      <w:tblGrid>
        <w:gridCol w:w="2034"/>
        <w:gridCol w:w="1357"/>
        <w:gridCol w:w="678"/>
        <w:gridCol w:w="1017"/>
        <w:gridCol w:w="1017"/>
        <w:gridCol w:w="679"/>
        <w:gridCol w:w="1356"/>
        <w:gridCol w:w="2035"/>
      </w:tblGrid>
      <w:tr w:rsidR="00DE5DA3" w:rsidTr="00090DBE">
        <w:trPr>
          <w:trHeight w:val="359"/>
        </w:trPr>
        <w:tc>
          <w:tcPr>
            <w:tcW w:w="3391" w:type="dxa"/>
            <w:gridSpan w:val="2"/>
            <w:tcBorders>
              <w:top w:val="nil"/>
              <w:left w:val="nil"/>
              <w:bottom w:val="nil"/>
              <w:right w:val="single" w:sz="4" w:space="0" w:color="auto"/>
            </w:tcBorders>
          </w:tcPr>
          <w:p w:rsidR="00DE5DA3" w:rsidRPr="008A0474" w:rsidRDefault="00DE5DA3" w:rsidP="00AC569D">
            <w:pPr>
              <w:pStyle w:val="BodyCopy"/>
              <w:jc w:val="center"/>
              <w:rPr>
                <w:caps/>
                <w:color w:val="auto"/>
                <w:spacing w:val="-13"/>
                <w:position w:val="-1"/>
              </w:rPr>
            </w:pPr>
          </w:p>
        </w:tc>
        <w:tc>
          <w:tcPr>
            <w:tcW w:w="3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5DA3" w:rsidRPr="00090DBE" w:rsidRDefault="00DE5DA3" w:rsidP="00090DBE">
            <w:pPr>
              <w:pStyle w:val="BodyCopy"/>
              <w:jc w:val="center"/>
              <w:rPr>
                <w:caps/>
                <w:color w:val="auto"/>
                <w:spacing w:val="-13"/>
                <w:position w:val="-1"/>
              </w:rPr>
            </w:pPr>
            <w:r w:rsidRPr="00090DBE">
              <w:rPr>
                <w:color w:val="auto"/>
                <w:sz w:val="22"/>
                <w:szCs w:val="22"/>
              </w:rPr>
              <w:t>Electoral Commissioner</w:t>
            </w:r>
          </w:p>
        </w:tc>
        <w:tc>
          <w:tcPr>
            <w:tcW w:w="3391" w:type="dxa"/>
            <w:gridSpan w:val="2"/>
            <w:tcBorders>
              <w:top w:val="nil"/>
              <w:left w:val="single" w:sz="4" w:space="0" w:color="auto"/>
              <w:bottom w:val="nil"/>
              <w:right w:val="nil"/>
            </w:tcBorders>
          </w:tcPr>
          <w:p w:rsidR="00DE5DA3" w:rsidRPr="008A0474" w:rsidRDefault="00DE5DA3" w:rsidP="00AC569D">
            <w:pPr>
              <w:pStyle w:val="BodyCopy"/>
              <w:jc w:val="center"/>
              <w:rPr>
                <w:caps/>
                <w:color w:val="auto"/>
                <w:spacing w:val="-13"/>
                <w:position w:val="-1"/>
              </w:rPr>
            </w:pPr>
          </w:p>
        </w:tc>
      </w:tr>
      <w:tr w:rsidR="00AC569D" w:rsidTr="00AC569D">
        <w:trPr>
          <w:trHeight w:val="526"/>
        </w:trPr>
        <w:tc>
          <w:tcPr>
            <w:tcW w:w="2034" w:type="dxa"/>
            <w:vMerge w:val="restart"/>
            <w:tcBorders>
              <w:top w:val="nil"/>
              <w:left w:val="nil"/>
              <w:right w:val="single" w:sz="4" w:space="0" w:color="auto"/>
            </w:tcBorders>
          </w:tcPr>
          <w:p w:rsidR="00AC569D" w:rsidRPr="008A0474" w:rsidRDefault="00AC569D" w:rsidP="00AC569D">
            <w:pPr>
              <w:pStyle w:val="BodyCopy"/>
              <w:jc w:val="center"/>
              <w:rPr>
                <w:caps/>
                <w:color w:val="auto"/>
                <w:spacing w:val="-13"/>
                <w:position w:val="-1"/>
              </w:rPr>
            </w:pPr>
          </w:p>
        </w:tc>
        <w:tc>
          <w:tcPr>
            <w:tcW w:w="2035" w:type="dxa"/>
            <w:gridSpan w:val="2"/>
            <w:tcBorders>
              <w:top w:val="single" w:sz="4" w:space="0" w:color="auto"/>
              <w:left w:val="single" w:sz="4" w:space="0" w:color="auto"/>
              <w:bottom w:val="single" w:sz="4" w:space="0" w:color="auto"/>
              <w:right w:val="single" w:sz="4" w:space="0" w:color="auto"/>
            </w:tcBorders>
            <w:vAlign w:val="center"/>
          </w:tcPr>
          <w:p w:rsidR="00AC569D" w:rsidRPr="00AC569D" w:rsidRDefault="00AC569D" w:rsidP="00AC569D">
            <w:pPr>
              <w:pStyle w:val="BodyCopy"/>
              <w:spacing w:before="120" w:line="240" w:lineRule="auto"/>
              <w:jc w:val="center"/>
              <w:rPr>
                <w:color w:val="000000"/>
                <w:sz w:val="18"/>
                <w:szCs w:val="18"/>
              </w:rPr>
            </w:pPr>
            <w:r w:rsidRPr="00AC569D">
              <w:rPr>
                <w:rStyle w:val="A12"/>
                <w:sz w:val="18"/>
                <w:szCs w:val="18"/>
              </w:rPr>
              <w:t>Executive Assistant</w:t>
            </w:r>
          </w:p>
        </w:tc>
        <w:tc>
          <w:tcPr>
            <w:tcW w:w="2034" w:type="dxa"/>
            <w:gridSpan w:val="2"/>
            <w:vMerge w:val="restart"/>
            <w:tcBorders>
              <w:top w:val="nil"/>
              <w:left w:val="single" w:sz="4" w:space="0" w:color="auto"/>
              <w:right w:val="single" w:sz="4" w:space="0" w:color="auto"/>
            </w:tcBorders>
          </w:tcPr>
          <w:p w:rsidR="00AC569D" w:rsidRPr="00AC569D" w:rsidRDefault="00AC569D" w:rsidP="00AC569D">
            <w:pPr>
              <w:pStyle w:val="BodyCopy"/>
              <w:jc w:val="center"/>
              <w:rPr>
                <w:caps/>
                <w:color w:val="auto"/>
                <w:spacing w:val="-13"/>
                <w:position w:val="-1"/>
                <w:sz w:val="18"/>
                <w:szCs w:val="18"/>
              </w:rPr>
            </w:pPr>
          </w:p>
        </w:tc>
        <w:tc>
          <w:tcPr>
            <w:tcW w:w="2035" w:type="dxa"/>
            <w:gridSpan w:val="2"/>
            <w:vMerge w:val="restart"/>
            <w:tcBorders>
              <w:top w:val="single" w:sz="4" w:space="0" w:color="auto"/>
              <w:left w:val="single" w:sz="4" w:space="0" w:color="auto"/>
              <w:right w:val="single" w:sz="4" w:space="0" w:color="auto"/>
            </w:tcBorders>
            <w:vAlign w:val="center"/>
          </w:tcPr>
          <w:p w:rsidR="00AC569D" w:rsidRPr="00AC569D" w:rsidRDefault="00AC569D" w:rsidP="00AC569D">
            <w:pPr>
              <w:pStyle w:val="BodyCopy"/>
              <w:jc w:val="center"/>
              <w:rPr>
                <w:caps/>
                <w:color w:val="auto"/>
                <w:spacing w:val="-13"/>
                <w:position w:val="-1"/>
                <w:sz w:val="18"/>
                <w:szCs w:val="18"/>
              </w:rPr>
            </w:pPr>
            <w:r w:rsidRPr="00AC569D">
              <w:rPr>
                <w:rStyle w:val="A12"/>
                <w:sz w:val="18"/>
                <w:szCs w:val="18"/>
              </w:rPr>
              <w:t>Executive Officer</w:t>
            </w:r>
            <w:r>
              <w:rPr>
                <w:rStyle w:val="A12"/>
                <w:sz w:val="18"/>
                <w:szCs w:val="18"/>
              </w:rPr>
              <w:br/>
            </w:r>
            <w:r w:rsidRPr="00AC569D">
              <w:rPr>
                <w:rStyle w:val="A12"/>
                <w:sz w:val="18"/>
                <w:szCs w:val="18"/>
              </w:rPr>
              <w:t>to the Electoral Distribution Commissioners</w:t>
            </w:r>
          </w:p>
        </w:tc>
        <w:tc>
          <w:tcPr>
            <w:tcW w:w="2035" w:type="dxa"/>
            <w:tcBorders>
              <w:top w:val="single" w:sz="4" w:space="0" w:color="auto"/>
              <w:left w:val="single" w:sz="4" w:space="0" w:color="auto"/>
              <w:right w:val="single" w:sz="4" w:space="0" w:color="auto"/>
            </w:tcBorders>
            <w:vAlign w:val="center"/>
          </w:tcPr>
          <w:p w:rsidR="00AC569D" w:rsidRPr="00AC569D" w:rsidRDefault="00AC569D" w:rsidP="00AC569D">
            <w:pPr>
              <w:pStyle w:val="BodyCopy"/>
              <w:jc w:val="center"/>
              <w:rPr>
                <w:color w:val="000000"/>
                <w:sz w:val="18"/>
                <w:szCs w:val="18"/>
              </w:rPr>
            </w:pPr>
            <w:r w:rsidRPr="00AC569D">
              <w:rPr>
                <w:rStyle w:val="A18"/>
                <w:sz w:val="18"/>
                <w:szCs w:val="18"/>
              </w:rPr>
              <w:t>Senior Project Coordinator</w:t>
            </w:r>
          </w:p>
        </w:tc>
      </w:tr>
      <w:tr w:rsidR="00AC569D" w:rsidTr="00AC569D">
        <w:trPr>
          <w:trHeight w:val="526"/>
        </w:trPr>
        <w:tc>
          <w:tcPr>
            <w:tcW w:w="2034" w:type="dxa"/>
            <w:vMerge/>
            <w:tcBorders>
              <w:left w:val="nil"/>
              <w:bottom w:val="nil"/>
              <w:right w:val="single" w:sz="4" w:space="0" w:color="auto"/>
            </w:tcBorders>
          </w:tcPr>
          <w:p w:rsidR="00AC569D" w:rsidRPr="008A0474" w:rsidRDefault="00AC569D" w:rsidP="00AC569D">
            <w:pPr>
              <w:pStyle w:val="BodyCopy"/>
              <w:jc w:val="center"/>
              <w:rPr>
                <w:caps/>
                <w:color w:val="auto"/>
                <w:spacing w:val="-13"/>
                <w:position w:val="-1"/>
              </w:rPr>
            </w:pPr>
          </w:p>
        </w:tc>
        <w:tc>
          <w:tcPr>
            <w:tcW w:w="2035" w:type="dxa"/>
            <w:gridSpan w:val="2"/>
            <w:tcBorders>
              <w:top w:val="single" w:sz="4" w:space="0" w:color="auto"/>
              <w:left w:val="single" w:sz="4" w:space="0" w:color="auto"/>
              <w:bottom w:val="single" w:sz="4" w:space="0" w:color="auto"/>
              <w:right w:val="single" w:sz="4" w:space="0" w:color="auto"/>
            </w:tcBorders>
            <w:vAlign w:val="center"/>
          </w:tcPr>
          <w:p w:rsidR="00AC569D" w:rsidRPr="00AC569D" w:rsidRDefault="00AC569D" w:rsidP="00AC569D">
            <w:pPr>
              <w:pStyle w:val="BodyCopy"/>
              <w:spacing w:before="120" w:line="240" w:lineRule="auto"/>
              <w:jc w:val="center"/>
              <w:rPr>
                <w:rStyle w:val="A12"/>
                <w:sz w:val="18"/>
                <w:szCs w:val="18"/>
              </w:rPr>
            </w:pPr>
            <w:r w:rsidRPr="00AC569D">
              <w:rPr>
                <w:rStyle w:val="A12"/>
                <w:sz w:val="18"/>
                <w:szCs w:val="18"/>
              </w:rPr>
              <w:t>Planning Coordinator</w:t>
            </w:r>
          </w:p>
        </w:tc>
        <w:tc>
          <w:tcPr>
            <w:tcW w:w="2034" w:type="dxa"/>
            <w:gridSpan w:val="2"/>
            <w:vMerge/>
            <w:tcBorders>
              <w:left w:val="single" w:sz="4" w:space="0" w:color="auto"/>
              <w:bottom w:val="nil"/>
              <w:right w:val="single" w:sz="4" w:space="0" w:color="auto"/>
            </w:tcBorders>
          </w:tcPr>
          <w:p w:rsidR="00AC569D" w:rsidRPr="00AC569D" w:rsidRDefault="00AC569D" w:rsidP="00AC569D">
            <w:pPr>
              <w:pStyle w:val="BodyCopy"/>
              <w:jc w:val="center"/>
              <w:rPr>
                <w:caps/>
                <w:color w:val="auto"/>
                <w:spacing w:val="-13"/>
                <w:position w:val="-1"/>
                <w:sz w:val="18"/>
                <w:szCs w:val="18"/>
              </w:rPr>
            </w:pPr>
          </w:p>
        </w:tc>
        <w:tc>
          <w:tcPr>
            <w:tcW w:w="2035" w:type="dxa"/>
            <w:gridSpan w:val="2"/>
            <w:vMerge/>
            <w:tcBorders>
              <w:left w:val="single" w:sz="4" w:space="0" w:color="auto"/>
              <w:bottom w:val="single" w:sz="4" w:space="0" w:color="auto"/>
              <w:right w:val="single" w:sz="4" w:space="0" w:color="auto"/>
            </w:tcBorders>
          </w:tcPr>
          <w:p w:rsidR="00AC569D" w:rsidRPr="00AC569D" w:rsidRDefault="00AC569D" w:rsidP="00AC569D">
            <w:pPr>
              <w:pStyle w:val="BodyCopy"/>
              <w:jc w:val="center"/>
              <w:rPr>
                <w:rStyle w:val="A12"/>
                <w:sz w:val="18"/>
                <w:szCs w:val="18"/>
              </w:rPr>
            </w:pPr>
          </w:p>
        </w:tc>
        <w:tc>
          <w:tcPr>
            <w:tcW w:w="2035" w:type="dxa"/>
            <w:tcBorders>
              <w:left w:val="single" w:sz="4" w:space="0" w:color="auto"/>
              <w:bottom w:val="single" w:sz="4" w:space="0" w:color="auto"/>
              <w:right w:val="single" w:sz="4" w:space="0" w:color="auto"/>
            </w:tcBorders>
            <w:vAlign w:val="center"/>
          </w:tcPr>
          <w:p w:rsidR="00AC569D" w:rsidRPr="00AC569D" w:rsidRDefault="00AC569D" w:rsidP="00AC569D">
            <w:pPr>
              <w:pStyle w:val="BodyCopy"/>
              <w:jc w:val="center"/>
              <w:rPr>
                <w:rStyle w:val="A18"/>
                <w:sz w:val="18"/>
                <w:szCs w:val="18"/>
              </w:rPr>
            </w:pPr>
            <w:r w:rsidRPr="00AC569D">
              <w:rPr>
                <w:rStyle w:val="A12"/>
                <w:sz w:val="18"/>
                <w:szCs w:val="18"/>
              </w:rPr>
              <w:t>A</w:t>
            </w:r>
            <w:r w:rsidRPr="00AC569D">
              <w:rPr>
                <w:rStyle w:val="A18"/>
                <w:sz w:val="18"/>
                <w:szCs w:val="18"/>
              </w:rPr>
              <w:t>dmin &amp; Project Support Officer</w:t>
            </w:r>
          </w:p>
        </w:tc>
      </w:tr>
      <w:tr w:rsidR="00DE5DA3" w:rsidTr="00090DBE">
        <w:tc>
          <w:tcPr>
            <w:tcW w:w="3391" w:type="dxa"/>
            <w:gridSpan w:val="2"/>
            <w:tcBorders>
              <w:top w:val="nil"/>
              <w:left w:val="nil"/>
              <w:bottom w:val="single" w:sz="4" w:space="0" w:color="auto"/>
              <w:right w:val="single" w:sz="4" w:space="0" w:color="auto"/>
            </w:tcBorders>
          </w:tcPr>
          <w:p w:rsidR="00DE5DA3" w:rsidRPr="008A0474" w:rsidRDefault="00DE5DA3" w:rsidP="00AC569D">
            <w:pPr>
              <w:pStyle w:val="BodyCopy"/>
              <w:jc w:val="center"/>
              <w:rPr>
                <w:caps/>
                <w:color w:val="auto"/>
                <w:spacing w:val="-13"/>
                <w:position w:val="-1"/>
              </w:rPr>
            </w:pPr>
          </w:p>
        </w:tc>
        <w:tc>
          <w:tcPr>
            <w:tcW w:w="3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E5DA3" w:rsidRPr="008A0474" w:rsidRDefault="00DE5DA3" w:rsidP="00090DBE">
            <w:pPr>
              <w:pStyle w:val="BodyCopy"/>
              <w:jc w:val="center"/>
              <w:rPr>
                <w:caps/>
                <w:color w:val="auto"/>
                <w:spacing w:val="-13"/>
                <w:position w:val="-1"/>
              </w:rPr>
            </w:pPr>
            <w:r w:rsidRPr="00AC569D">
              <w:rPr>
                <w:rStyle w:val="A12"/>
                <w:sz w:val="20"/>
                <w:szCs w:val="20"/>
              </w:rPr>
              <w:t>Deputy Electoral Commissioner</w:t>
            </w:r>
          </w:p>
        </w:tc>
        <w:tc>
          <w:tcPr>
            <w:tcW w:w="3391" w:type="dxa"/>
            <w:gridSpan w:val="2"/>
            <w:tcBorders>
              <w:top w:val="nil"/>
              <w:left w:val="single" w:sz="4" w:space="0" w:color="auto"/>
              <w:bottom w:val="single" w:sz="4" w:space="0" w:color="auto"/>
              <w:right w:val="nil"/>
            </w:tcBorders>
          </w:tcPr>
          <w:p w:rsidR="00DE5DA3" w:rsidRPr="008A0474" w:rsidRDefault="00DE5DA3" w:rsidP="00AC569D">
            <w:pPr>
              <w:pStyle w:val="BodyCopy"/>
              <w:jc w:val="center"/>
              <w:rPr>
                <w:caps/>
                <w:color w:val="auto"/>
                <w:spacing w:val="-13"/>
                <w:position w:val="-1"/>
              </w:rPr>
            </w:pPr>
          </w:p>
        </w:tc>
      </w:tr>
      <w:tr w:rsidR="00DE5DA3" w:rsidTr="000E680A">
        <w:tc>
          <w:tcPr>
            <w:tcW w:w="20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DA3" w:rsidRPr="00AC569D" w:rsidRDefault="00DE5DA3" w:rsidP="00AC569D">
            <w:pPr>
              <w:pStyle w:val="BodyCopy"/>
              <w:jc w:val="center"/>
              <w:rPr>
                <w:caps/>
                <w:color w:val="auto"/>
                <w:spacing w:val="-13"/>
                <w:position w:val="-1"/>
                <w:sz w:val="20"/>
                <w:szCs w:val="20"/>
              </w:rPr>
            </w:pPr>
            <w:r w:rsidRPr="00AC569D">
              <w:rPr>
                <w:rStyle w:val="A12"/>
                <w:sz w:val="20"/>
                <w:szCs w:val="20"/>
              </w:rPr>
              <w:t>Director Information Technology</w:t>
            </w:r>
          </w:p>
        </w:tc>
        <w:tc>
          <w:tcPr>
            <w:tcW w:w="20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DA3" w:rsidRPr="00AC569D" w:rsidRDefault="00DE5DA3" w:rsidP="00AC569D">
            <w:pPr>
              <w:pStyle w:val="Pa0"/>
              <w:jc w:val="center"/>
              <w:rPr>
                <w:color w:val="000000"/>
                <w:sz w:val="20"/>
                <w:szCs w:val="20"/>
              </w:rPr>
            </w:pPr>
            <w:r w:rsidRPr="00AC569D">
              <w:rPr>
                <w:rStyle w:val="A12"/>
                <w:sz w:val="20"/>
                <w:szCs w:val="20"/>
              </w:rPr>
              <w:t>Director Election Operations</w:t>
            </w:r>
          </w:p>
        </w:tc>
        <w:tc>
          <w:tcPr>
            <w:tcW w:w="1017" w:type="dxa"/>
            <w:tcBorders>
              <w:top w:val="nil"/>
              <w:left w:val="single" w:sz="4" w:space="0" w:color="auto"/>
              <w:bottom w:val="single" w:sz="4" w:space="0" w:color="auto"/>
              <w:right w:val="double" w:sz="4" w:space="0" w:color="auto"/>
            </w:tcBorders>
            <w:shd w:val="clear" w:color="auto" w:fill="FFFFFF" w:themeFill="background1"/>
            <w:vAlign w:val="center"/>
          </w:tcPr>
          <w:p w:rsidR="00DE5DA3" w:rsidRPr="00AC569D" w:rsidRDefault="00DE5DA3" w:rsidP="00AC569D">
            <w:pPr>
              <w:pStyle w:val="BodyCopy"/>
              <w:jc w:val="center"/>
              <w:rPr>
                <w:caps/>
                <w:color w:val="auto"/>
                <w:spacing w:val="-13"/>
                <w:position w:val="-1"/>
                <w:sz w:val="20"/>
                <w:szCs w:val="20"/>
              </w:rPr>
            </w:pPr>
          </w:p>
        </w:tc>
        <w:tc>
          <w:tcPr>
            <w:tcW w:w="101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rsidR="00DE5DA3" w:rsidRPr="00AC569D" w:rsidRDefault="00DE5DA3" w:rsidP="00AC569D">
            <w:pPr>
              <w:pStyle w:val="BodyCopy"/>
              <w:jc w:val="center"/>
              <w:rPr>
                <w:caps/>
                <w:color w:val="auto"/>
                <w:spacing w:val="-13"/>
                <w:position w:val="-1"/>
                <w:sz w:val="20"/>
                <w:szCs w:val="20"/>
              </w:rPr>
            </w:pPr>
          </w:p>
        </w:tc>
        <w:tc>
          <w:tcPr>
            <w:tcW w:w="20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DA3" w:rsidRPr="00AC569D" w:rsidRDefault="00DE5DA3" w:rsidP="00AC569D">
            <w:pPr>
              <w:pStyle w:val="Pa0"/>
              <w:jc w:val="center"/>
              <w:rPr>
                <w:color w:val="000000"/>
                <w:sz w:val="20"/>
                <w:szCs w:val="20"/>
              </w:rPr>
            </w:pPr>
            <w:r w:rsidRPr="00AC569D">
              <w:rPr>
                <w:rStyle w:val="A12"/>
                <w:sz w:val="20"/>
                <w:szCs w:val="20"/>
              </w:rPr>
              <w:t>Manager Enrolment &amp; Education</w:t>
            </w:r>
          </w:p>
        </w:tc>
        <w:tc>
          <w:tcPr>
            <w:tcW w:w="20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E5DA3" w:rsidRPr="00AC569D" w:rsidRDefault="00DE5DA3" w:rsidP="00AC569D">
            <w:pPr>
              <w:pStyle w:val="BodyCopy"/>
              <w:jc w:val="center"/>
              <w:rPr>
                <w:caps/>
                <w:color w:val="auto"/>
                <w:spacing w:val="-13"/>
                <w:position w:val="-1"/>
                <w:sz w:val="20"/>
                <w:szCs w:val="20"/>
              </w:rPr>
            </w:pPr>
            <w:r w:rsidRPr="00AC569D">
              <w:rPr>
                <w:rStyle w:val="A12"/>
                <w:sz w:val="20"/>
                <w:szCs w:val="20"/>
              </w:rPr>
              <w:t>Director Business Services</w:t>
            </w:r>
          </w:p>
        </w:tc>
      </w:tr>
      <w:tr w:rsidR="00AC569D" w:rsidTr="000E680A">
        <w:tc>
          <w:tcPr>
            <w:tcW w:w="2034" w:type="dxa"/>
            <w:tcBorders>
              <w:top w:val="single" w:sz="4" w:space="0" w:color="auto"/>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Systems and Database Administrator</w:t>
            </w:r>
          </w:p>
        </w:tc>
        <w:tc>
          <w:tcPr>
            <w:tcW w:w="2035" w:type="dxa"/>
            <w:gridSpan w:val="2"/>
            <w:tcBorders>
              <w:top w:val="single" w:sz="4" w:space="0" w:color="auto"/>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Manager State Elections</w:t>
            </w:r>
          </w:p>
        </w:tc>
        <w:tc>
          <w:tcPr>
            <w:tcW w:w="2034" w:type="dxa"/>
            <w:gridSpan w:val="2"/>
            <w:tcBorders>
              <w:top w:val="single" w:sz="4" w:space="0" w:color="auto"/>
              <w:left w:val="single" w:sz="4" w:space="0" w:color="auto"/>
              <w:bottom w:val="nil"/>
              <w:right w:val="single" w:sz="4" w:space="0" w:color="auto"/>
            </w:tcBorders>
            <w:vAlign w:val="center"/>
          </w:tcPr>
          <w:p w:rsidR="008A0474" w:rsidRPr="00AC569D" w:rsidRDefault="008A0474" w:rsidP="00AC569D">
            <w:pPr>
              <w:pStyle w:val="BodyCopy"/>
              <w:jc w:val="center"/>
              <w:rPr>
                <w:caps/>
                <w:color w:val="auto"/>
                <w:spacing w:val="-13"/>
                <w:position w:val="-1"/>
                <w:sz w:val="18"/>
                <w:szCs w:val="18"/>
              </w:rPr>
            </w:pPr>
            <w:r w:rsidRPr="00AC569D">
              <w:rPr>
                <w:rStyle w:val="A18"/>
                <w:sz w:val="18"/>
                <w:szCs w:val="18"/>
              </w:rPr>
              <w:t>Communications Officer</w:t>
            </w:r>
          </w:p>
        </w:tc>
        <w:tc>
          <w:tcPr>
            <w:tcW w:w="2035" w:type="dxa"/>
            <w:gridSpan w:val="2"/>
            <w:tcBorders>
              <w:top w:val="single" w:sz="4" w:space="0" w:color="auto"/>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Enrolment Team Leader</w:t>
            </w:r>
          </w:p>
        </w:tc>
        <w:tc>
          <w:tcPr>
            <w:tcW w:w="2035" w:type="dxa"/>
            <w:tcBorders>
              <w:top w:val="single" w:sz="4" w:space="0" w:color="auto"/>
              <w:left w:val="single" w:sz="4" w:space="0" w:color="auto"/>
              <w:bottom w:val="nil"/>
              <w:right w:val="single" w:sz="4" w:space="0" w:color="auto"/>
            </w:tcBorders>
            <w:vAlign w:val="center"/>
          </w:tcPr>
          <w:p w:rsidR="008A0474" w:rsidRPr="00AC569D" w:rsidRDefault="008A0474" w:rsidP="00AC569D">
            <w:pPr>
              <w:pStyle w:val="BodyCopy"/>
              <w:jc w:val="center"/>
              <w:rPr>
                <w:caps/>
                <w:color w:val="auto"/>
                <w:spacing w:val="-13"/>
                <w:position w:val="-1"/>
                <w:sz w:val="18"/>
                <w:szCs w:val="18"/>
              </w:rPr>
            </w:pPr>
            <w:r w:rsidRPr="00AC569D">
              <w:rPr>
                <w:rStyle w:val="A18"/>
                <w:sz w:val="18"/>
                <w:szCs w:val="18"/>
              </w:rPr>
              <w:t>Senior Finance Officer</w:t>
            </w:r>
          </w:p>
        </w:tc>
      </w:tr>
      <w:tr w:rsidR="00AC569D" w:rsidTr="000E680A">
        <w:tc>
          <w:tcPr>
            <w:tcW w:w="2034" w:type="dxa"/>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Senior Systems Administrator</w:t>
            </w:r>
          </w:p>
        </w:tc>
        <w:tc>
          <w:tcPr>
            <w:tcW w:w="2035" w:type="dxa"/>
            <w:gridSpan w:val="2"/>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Electoral Liaison Officer</w:t>
            </w:r>
          </w:p>
        </w:tc>
        <w:tc>
          <w:tcPr>
            <w:tcW w:w="2034" w:type="dxa"/>
            <w:gridSpan w:val="2"/>
            <w:tcBorders>
              <w:top w:val="nil"/>
              <w:left w:val="single" w:sz="4" w:space="0" w:color="auto"/>
              <w:bottom w:val="single" w:sz="4" w:space="0" w:color="auto"/>
              <w:right w:val="single" w:sz="4" w:space="0" w:color="auto"/>
            </w:tcBorders>
            <w:vAlign w:val="center"/>
          </w:tcPr>
          <w:p w:rsidR="008A0474" w:rsidRPr="00AC569D" w:rsidRDefault="008A0474" w:rsidP="00AC569D">
            <w:pPr>
              <w:pStyle w:val="BodyCopy"/>
              <w:jc w:val="center"/>
              <w:rPr>
                <w:caps/>
                <w:color w:val="auto"/>
                <w:spacing w:val="-13"/>
                <w:position w:val="-1"/>
                <w:sz w:val="18"/>
                <w:szCs w:val="18"/>
              </w:rPr>
            </w:pPr>
            <w:r w:rsidRPr="00AC569D">
              <w:rPr>
                <w:rStyle w:val="A18"/>
                <w:sz w:val="18"/>
                <w:szCs w:val="18"/>
              </w:rPr>
              <w:t>Public Affairs Officer</w:t>
            </w:r>
          </w:p>
        </w:tc>
        <w:tc>
          <w:tcPr>
            <w:tcW w:w="2035" w:type="dxa"/>
            <w:gridSpan w:val="2"/>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Senior Enrolment Officers L3 (x2)</w:t>
            </w:r>
          </w:p>
        </w:tc>
        <w:tc>
          <w:tcPr>
            <w:tcW w:w="2035" w:type="dxa"/>
            <w:tcBorders>
              <w:top w:val="nil"/>
              <w:left w:val="single" w:sz="4" w:space="0" w:color="auto"/>
              <w:bottom w:val="nil"/>
              <w:right w:val="single" w:sz="4" w:space="0" w:color="auto"/>
            </w:tcBorders>
            <w:vAlign w:val="center"/>
          </w:tcPr>
          <w:p w:rsidR="008A0474" w:rsidRPr="00AC569D" w:rsidRDefault="008A0474" w:rsidP="00AC569D">
            <w:pPr>
              <w:pStyle w:val="BodyCopy"/>
              <w:jc w:val="center"/>
              <w:rPr>
                <w:caps/>
                <w:color w:val="auto"/>
                <w:spacing w:val="-13"/>
                <w:position w:val="-1"/>
                <w:sz w:val="18"/>
                <w:szCs w:val="18"/>
              </w:rPr>
            </w:pPr>
            <w:r w:rsidRPr="00AC569D">
              <w:rPr>
                <w:rStyle w:val="A18"/>
                <w:sz w:val="18"/>
                <w:szCs w:val="18"/>
              </w:rPr>
              <w:t>Stores/Accounts Officer</w:t>
            </w:r>
          </w:p>
        </w:tc>
      </w:tr>
      <w:tr w:rsidR="00AC569D" w:rsidTr="000E680A">
        <w:tc>
          <w:tcPr>
            <w:tcW w:w="2034" w:type="dxa"/>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Senior Systems Development Officer</w:t>
            </w:r>
          </w:p>
        </w:tc>
        <w:tc>
          <w:tcPr>
            <w:tcW w:w="2035" w:type="dxa"/>
            <w:gridSpan w:val="2"/>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Project Officer (x3)</w:t>
            </w:r>
          </w:p>
        </w:tc>
        <w:tc>
          <w:tcPr>
            <w:tcW w:w="2034" w:type="dxa"/>
            <w:gridSpan w:val="2"/>
            <w:tcBorders>
              <w:top w:val="single" w:sz="4" w:space="0" w:color="auto"/>
              <w:left w:val="single" w:sz="4" w:space="0" w:color="auto"/>
              <w:bottom w:val="nil"/>
              <w:right w:val="single" w:sz="4" w:space="0" w:color="auto"/>
            </w:tcBorders>
            <w:vAlign w:val="center"/>
          </w:tcPr>
          <w:p w:rsidR="008A0474" w:rsidRPr="00AC569D" w:rsidRDefault="008A0474" w:rsidP="00AC569D">
            <w:pPr>
              <w:pStyle w:val="BodyCopy"/>
              <w:jc w:val="center"/>
              <w:rPr>
                <w:caps/>
                <w:color w:val="auto"/>
                <w:spacing w:val="-13"/>
                <w:position w:val="-1"/>
                <w:sz w:val="18"/>
                <w:szCs w:val="18"/>
              </w:rPr>
            </w:pPr>
          </w:p>
        </w:tc>
        <w:tc>
          <w:tcPr>
            <w:tcW w:w="2035" w:type="dxa"/>
            <w:gridSpan w:val="2"/>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Senior Enrolment Officers L2 (x3)</w:t>
            </w:r>
          </w:p>
        </w:tc>
        <w:tc>
          <w:tcPr>
            <w:tcW w:w="2035" w:type="dxa"/>
            <w:tcBorders>
              <w:top w:val="nil"/>
              <w:left w:val="single" w:sz="4" w:space="0" w:color="auto"/>
              <w:bottom w:val="nil"/>
              <w:right w:val="single" w:sz="4" w:space="0" w:color="auto"/>
            </w:tcBorders>
            <w:vAlign w:val="center"/>
          </w:tcPr>
          <w:p w:rsidR="008A0474" w:rsidRPr="00AC569D" w:rsidRDefault="008A0474" w:rsidP="00AC569D">
            <w:pPr>
              <w:pStyle w:val="BodyCopy"/>
              <w:jc w:val="center"/>
              <w:rPr>
                <w:caps/>
                <w:color w:val="auto"/>
                <w:spacing w:val="-13"/>
                <w:position w:val="-1"/>
                <w:sz w:val="18"/>
                <w:szCs w:val="18"/>
              </w:rPr>
            </w:pPr>
            <w:r w:rsidRPr="00AC569D">
              <w:rPr>
                <w:rStyle w:val="A18"/>
                <w:sz w:val="18"/>
                <w:szCs w:val="18"/>
              </w:rPr>
              <w:t>Finance Officer</w:t>
            </w:r>
          </w:p>
        </w:tc>
      </w:tr>
      <w:tr w:rsidR="00AC569D" w:rsidTr="000E680A">
        <w:tc>
          <w:tcPr>
            <w:tcW w:w="2034" w:type="dxa"/>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Systems Development Officer</w:t>
            </w:r>
          </w:p>
        </w:tc>
        <w:tc>
          <w:tcPr>
            <w:tcW w:w="2035" w:type="dxa"/>
            <w:gridSpan w:val="2"/>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Manager LG Elections</w:t>
            </w:r>
          </w:p>
        </w:tc>
        <w:tc>
          <w:tcPr>
            <w:tcW w:w="2034" w:type="dxa"/>
            <w:gridSpan w:val="2"/>
            <w:tcBorders>
              <w:top w:val="nil"/>
              <w:left w:val="single" w:sz="4" w:space="0" w:color="auto"/>
              <w:bottom w:val="nil"/>
              <w:right w:val="single" w:sz="4" w:space="0" w:color="auto"/>
            </w:tcBorders>
            <w:vAlign w:val="center"/>
          </w:tcPr>
          <w:p w:rsidR="008A0474" w:rsidRPr="00AC569D" w:rsidRDefault="008A0474" w:rsidP="00AC569D">
            <w:pPr>
              <w:pStyle w:val="BodyCopy"/>
              <w:jc w:val="center"/>
              <w:rPr>
                <w:caps/>
                <w:color w:val="auto"/>
                <w:spacing w:val="-13"/>
                <w:position w:val="-1"/>
                <w:sz w:val="18"/>
                <w:szCs w:val="18"/>
              </w:rPr>
            </w:pPr>
          </w:p>
        </w:tc>
        <w:tc>
          <w:tcPr>
            <w:tcW w:w="2035" w:type="dxa"/>
            <w:gridSpan w:val="2"/>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Enrolment Officer L1 (x2)</w:t>
            </w:r>
          </w:p>
        </w:tc>
        <w:tc>
          <w:tcPr>
            <w:tcW w:w="2035" w:type="dxa"/>
            <w:tcBorders>
              <w:top w:val="nil"/>
              <w:left w:val="single" w:sz="4" w:space="0" w:color="auto"/>
              <w:bottom w:val="nil"/>
              <w:right w:val="single" w:sz="4" w:space="0" w:color="auto"/>
            </w:tcBorders>
            <w:vAlign w:val="center"/>
          </w:tcPr>
          <w:p w:rsidR="008A0474" w:rsidRPr="00AC569D" w:rsidRDefault="00AC569D" w:rsidP="00AC569D">
            <w:pPr>
              <w:pStyle w:val="BodyCopy"/>
              <w:jc w:val="center"/>
              <w:rPr>
                <w:caps/>
                <w:color w:val="auto"/>
                <w:spacing w:val="-13"/>
                <w:position w:val="-1"/>
                <w:sz w:val="18"/>
                <w:szCs w:val="18"/>
              </w:rPr>
            </w:pPr>
            <w:r w:rsidRPr="00AC569D">
              <w:rPr>
                <w:rStyle w:val="A18"/>
                <w:sz w:val="18"/>
                <w:szCs w:val="18"/>
              </w:rPr>
              <w:t>HR Officer</w:t>
            </w:r>
          </w:p>
        </w:tc>
      </w:tr>
      <w:tr w:rsidR="00AC569D" w:rsidTr="000E680A">
        <w:tc>
          <w:tcPr>
            <w:tcW w:w="2034" w:type="dxa"/>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Help Desk Officer</w:t>
            </w:r>
          </w:p>
        </w:tc>
        <w:tc>
          <w:tcPr>
            <w:tcW w:w="2035" w:type="dxa"/>
            <w:gridSpan w:val="2"/>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Senior Project Officer LG Operations</w:t>
            </w:r>
          </w:p>
        </w:tc>
        <w:tc>
          <w:tcPr>
            <w:tcW w:w="2034" w:type="dxa"/>
            <w:gridSpan w:val="2"/>
            <w:tcBorders>
              <w:top w:val="nil"/>
              <w:left w:val="single" w:sz="4" w:space="0" w:color="auto"/>
              <w:bottom w:val="nil"/>
              <w:right w:val="single" w:sz="4" w:space="0" w:color="auto"/>
            </w:tcBorders>
            <w:vAlign w:val="center"/>
          </w:tcPr>
          <w:p w:rsidR="00AC569D" w:rsidRPr="00AC569D" w:rsidRDefault="00AC569D" w:rsidP="00AC569D">
            <w:pPr>
              <w:pStyle w:val="BodyCopy"/>
              <w:jc w:val="center"/>
              <w:rPr>
                <w:caps/>
                <w:color w:val="auto"/>
                <w:spacing w:val="-13"/>
                <w:position w:val="-1"/>
                <w:sz w:val="18"/>
                <w:szCs w:val="18"/>
              </w:rPr>
            </w:pPr>
          </w:p>
        </w:tc>
        <w:tc>
          <w:tcPr>
            <w:tcW w:w="2035" w:type="dxa"/>
            <w:gridSpan w:val="2"/>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Senior Community Education Officer</w:t>
            </w:r>
          </w:p>
        </w:tc>
        <w:tc>
          <w:tcPr>
            <w:tcW w:w="2035" w:type="dxa"/>
            <w:tcBorders>
              <w:top w:val="nil"/>
              <w:left w:val="single" w:sz="4" w:space="0" w:color="auto"/>
              <w:bottom w:val="nil"/>
              <w:right w:val="single" w:sz="4" w:space="0" w:color="auto"/>
            </w:tcBorders>
            <w:vAlign w:val="center"/>
          </w:tcPr>
          <w:p w:rsidR="00AC569D" w:rsidRPr="00AC569D" w:rsidRDefault="00AC569D" w:rsidP="00AC569D">
            <w:pPr>
              <w:pStyle w:val="BodyCopy"/>
              <w:jc w:val="center"/>
              <w:rPr>
                <w:color w:val="000000"/>
                <w:sz w:val="18"/>
                <w:szCs w:val="18"/>
              </w:rPr>
            </w:pPr>
            <w:r w:rsidRPr="00AC569D">
              <w:rPr>
                <w:rStyle w:val="A18"/>
                <w:sz w:val="18"/>
                <w:szCs w:val="18"/>
              </w:rPr>
              <w:t xml:space="preserve">Policy </w:t>
            </w:r>
            <w:r>
              <w:rPr>
                <w:rStyle w:val="A18"/>
                <w:sz w:val="18"/>
                <w:szCs w:val="18"/>
              </w:rPr>
              <w:br/>
            </w:r>
            <w:r w:rsidRPr="00AC569D">
              <w:rPr>
                <w:rStyle w:val="A18"/>
                <w:sz w:val="18"/>
                <w:szCs w:val="18"/>
              </w:rPr>
              <w:t>and Compliance Coordinator</w:t>
            </w:r>
          </w:p>
        </w:tc>
      </w:tr>
      <w:tr w:rsidR="00AC569D" w:rsidTr="000E680A">
        <w:tc>
          <w:tcPr>
            <w:tcW w:w="2034" w:type="dxa"/>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Webmaster, Services and Development</w:t>
            </w:r>
          </w:p>
        </w:tc>
        <w:tc>
          <w:tcPr>
            <w:tcW w:w="2035" w:type="dxa"/>
            <w:gridSpan w:val="2"/>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Project Officer</w:t>
            </w:r>
          </w:p>
        </w:tc>
        <w:tc>
          <w:tcPr>
            <w:tcW w:w="2034" w:type="dxa"/>
            <w:gridSpan w:val="2"/>
            <w:tcBorders>
              <w:top w:val="nil"/>
              <w:left w:val="single" w:sz="4" w:space="0" w:color="auto"/>
              <w:bottom w:val="nil"/>
              <w:right w:val="single" w:sz="4" w:space="0" w:color="auto"/>
            </w:tcBorders>
            <w:vAlign w:val="center"/>
          </w:tcPr>
          <w:p w:rsidR="00AC569D" w:rsidRPr="00AC569D" w:rsidRDefault="00AC569D" w:rsidP="00AC569D">
            <w:pPr>
              <w:pStyle w:val="BodyCopy"/>
              <w:jc w:val="center"/>
              <w:rPr>
                <w:caps/>
                <w:color w:val="auto"/>
                <w:spacing w:val="-13"/>
                <w:position w:val="-1"/>
                <w:sz w:val="18"/>
                <w:szCs w:val="18"/>
              </w:rPr>
            </w:pPr>
          </w:p>
        </w:tc>
        <w:tc>
          <w:tcPr>
            <w:tcW w:w="2035" w:type="dxa"/>
            <w:gridSpan w:val="2"/>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Community Education Officer (x2)</w:t>
            </w:r>
          </w:p>
        </w:tc>
        <w:tc>
          <w:tcPr>
            <w:tcW w:w="2035" w:type="dxa"/>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Policy Officer</w:t>
            </w:r>
          </w:p>
        </w:tc>
      </w:tr>
      <w:tr w:rsidR="00AC569D" w:rsidTr="000E680A">
        <w:tc>
          <w:tcPr>
            <w:tcW w:w="2034" w:type="dxa"/>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System Tester Administrator</w:t>
            </w:r>
          </w:p>
        </w:tc>
        <w:tc>
          <w:tcPr>
            <w:tcW w:w="2035" w:type="dxa"/>
            <w:gridSpan w:val="2"/>
            <w:tcBorders>
              <w:top w:val="nil"/>
              <w:left w:val="single" w:sz="4" w:space="0" w:color="auto"/>
              <w:bottom w:val="nil"/>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Manager Non-</w:t>
            </w:r>
            <w:proofErr w:type="spellStart"/>
            <w:r w:rsidRPr="00AC569D">
              <w:rPr>
                <w:rStyle w:val="A18"/>
                <w:sz w:val="18"/>
                <w:szCs w:val="18"/>
              </w:rPr>
              <w:t>Parl</w:t>
            </w:r>
            <w:proofErr w:type="spellEnd"/>
            <w:r w:rsidRPr="00AC569D">
              <w:rPr>
                <w:rStyle w:val="A18"/>
                <w:sz w:val="18"/>
                <w:szCs w:val="18"/>
              </w:rPr>
              <w:t xml:space="preserve"> Elections</w:t>
            </w:r>
          </w:p>
        </w:tc>
        <w:tc>
          <w:tcPr>
            <w:tcW w:w="2034" w:type="dxa"/>
            <w:gridSpan w:val="2"/>
            <w:tcBorders>
              <w:top w:val="nil"/>
              <w:left w:val="single" w:sz="4" w:space="0" w:color="auto"/>
              <w:bottom w:val="nil"/>
              <w:right w:val="single" w:sz="4" w:space="0" w:color="auto"/>
            </w:tcBorders>
            <w:vAlign w:val="center"/>
          </w:tcPr>
          <w:p w:rsidR="008A0474" w:rsidRPr="00AC569D" w:rsidRDefault="008A0474" w:rsidP="00AC569D">
            <w:pPr>
              <w:pStyle w:val="BodyCopy"/>
              <w:jc w:val="center"/>
              <w:rPr>
                <w:caps/>
                <w:color w:val="auto"/>
                <w:spacing w:val="-13"/>
                <w:position w:val="-1"/>
                <w:sz w:val="18"/>
                <w:szCs w:val="18"/>
              </w:rPr>
            </w:pPr>
          </w:p>
        </w:tc>
        <w:tc>
          <w:tcPr>
            <w:tcW w:w="2035" w:type="dxa"/>
            <w:gridSpan w:val="2"/>
            <w:tcBorders>
              <w:top w:val="nil"/>
              <w:left w:val="single" w:sz="4" w:space="0" w:color="auto"/>
              <w:bottom w:val="single" w:sz="4" w:space="0" w:color="auto"/>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Casual Presenters</w:t>
            </w:r>
          </w:p>
        </w:tc>
        <w:tc>
          <w:tcPr>
            <w:tcW w:w="2035" w:type="dxa"/>
            <w:tcBorders>
              <w:top w:val="nil"/>
              <w:left w:val="single" w:sz="4" w:space="0" w:color="auto"/>
              <w:bottom w:val="nil"/>
              <w:right w:val="single" w:sz="4" w:space="0" w:color="auto"/>
            </w:tcBorders>
            <w:vAlign w:val="center"/>
          </w:tcPr>
          <w:p w:rsidR="008A0474" w:rsidRPr="00AC569D" w:rsidRDefault="00AC569D" w:rsidP="00AC569D">
            <w:pPr>
              <w:pStyle w:val="BodyCopy"/>
              <w:jc w:val="center"/>
              <w:rPr>
                <w:caps/>
                <w:color w:val="auto"/>
                <w:spacing w:val="-13"/>
                <w:position w:val="-1"/>
                <w:sz w:val="18"/>
                <w:szCs w:val="18"/>
              </w:rPr>
            </w:pPr>
            <w:r w:rsidRPr="00AC569D">
              <w:rPr>
                <w:rStyle w:val="A18"/>
                <w:sz w:val="18"/>
                <w:szCs w:val="18"/>
              </w:rPr>
              <w:t>Project Officer Training</w:t>
            </w:r>
          </w:p>
        </w:tc>
      </w:tr>
      <w:tr w:rsidR="00AC569D" w:rsidTr="000E680A">
        <w:tc>
          <w:tcPr>
            <w:tcW w:w="2034" w:type="dxa"/>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Systems and Database Administrator</w:t>
            </w:r>
          </w:p>
        </w:tc>
        <w:tc>
          <w:tcPr>
            <w:tcW w:w="2035" w:type="dxa"/>
            <w:gridSpan w:val="2"/>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Project Officer (x2)</w:t>
            </w:r>
          </w:p>
        </w:tc>
        <w:tc>
          <w:tcPr>
            <w:tcW w:w="2034" w:type="dxa"/>
            <w:gridSpan w:val="2"/>
            <w:tcBorders>
              <w:top w:val="nil"/>
              <w:left w:val="single" w:sz="4" w:space="0" w:color="auto"/>
              <w:bottom w:val="nil"/>
              <w:right w:val="nil"/>
            </w:tcBorders>
            <w:vAlign w:val="center"/>
          </w:tcPr>
          <w:p w:rsidR="00AC569D" w:rsidRPr="00AC569D" w:rsidRDefault="00AC569D" w:rsidP="00AC569D">
            <w:pPr>
              <w:pStyle w:val="BodyCopy"/>
              <w:jc w:val="center"/>
              <w:rPr>
                <w:caps/>
                <w:color w:val="auto"/>
                <w:spacing w:val="-13"/>
                <w:position w:val="-1"/>
                <w:sz w:val="18"/>
                <w:szCs w:val="18"/>
              </w:rPr>
            </w:pPr>
          </w:p>
        </w:tc>
        <w:tc>
          <w:tcPr>
            <w:tcW w:w="2035" w:type="dxa"/>
            <w:gridSpan w:val="2"/>
            <w:tcBorders>
              <w:top w:val="single" w:sz="4" w:space="0" w:color="auto"/>
              <w:left w:val="nil"/>
              <w:bottom w:val="nil"/>
              <w:right w:val="single" w:sz="4" w:space="0" w:color="auto"/>
            </w:tcBorders>
            <w:vAlign w:val="center"/>
          </w:tcPr>
          <w:p w:rsidR="00AC569D" w:rsidRPr="00AC569D" w:rsidRDefault="00AC569D" w:rsidP="00AC569D">
            <w:pPr>
              <w:pStyle w:val="BodyCopy"/>
              <w:jc w:val="center"/>
              <w:rPr>
                <w:sz w:val="18"/>
                <w:szCs w:val="18"/>
              </w:rPr>
            </w:pPr>
          </w:p>
        </w:tc>
        <w:tc>
          <w:tcPr>
            <w:tcW w:w="2035" w:type="dxa"/>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Records Officer</w:t>
            </w:r>
          </w:p>
        </w:tc>
      </w:tr>
      <w:tr w:rsidR="00AC569D" w:rsidTr="000E680A">
        <w:tc>
          <w:tcPr>
            <w:tcW w:w="2034" w:type="dxa"/>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Senior Systems Administrator</w:t>
            </w:r>
          </w:p>
        </w:tc>
        <w:tc>
          <w:tcPr>
            <w:tcW w:w="2035" w:type="dxa"/>
            <w:gridSpan w:val="2"/>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Manager State Elections</w:t>
            </w:r>
          </w:p>
        </w:tc>
        <w:tc>
          <w:tcPr>
            <w:tcW w:w="2034" w:type="dxa"/>
            <w:gridSpan w:val="2"/>
            <w:tcBorders>
              <w:top w:val="nil"/>
              <w:left w:val="single" w:sz="4" w:space="0" w:color="auto"/>
              <w:bottom w:val="nil"/>
              <w:right w:val="nil"/>
            </w:tcBorders>
            <w:vAlign w:val="center"/>
          </w:tcPr>
          <w:p w:rsidR="00AC569D" w:rsidRPr="00AC569D" w:rsidRDefault="00AC569D" w:rsidP="00AC569D">
            <w:pPr>
              <w:pStyle w:val="BodyCopy"/>
              <w:jc w:val="center"/>
              <w:rPr>
                <w:caps/>
                <w:color w:val="auto"/>
                <w:spacing w:val="-13"/>
                <w:position w:val="-1"/>
                <w:sz w:val="18"/>
                <w:szCs w:val="18"/>
              </w:rPr>
            </w:pPr>
          </w:p>
        </w:tc>
        <w:tc>
          <w:tcPr>
            <w:tcW w:w="2035" w:type="dxa"/>
            <w:gridSpan w:val="2"/>
            <w:tcBorders>
              <w:top w:val="nil"/>
              <w:left w:val="nil"/>
              <w:bottom w:val="nil"/>
              <w:right w:val="single" w:sz="4" w:space="0" w:color="auto"/>
            </w:tcBorders>
            <w:vAlign w:val="center"/>
          </w:tcPr>
          <w:p w:rsidR="00AC569D" w:rsidRPr="00AC569D" w:rsidRDefault="00AC569D" w:rsidP="00AC569D">
            <w:pPr>
              <w:pStyle w:val="BodyCopy"/>
              <w:jc w:val="center"/>
              <w:rPr>
                <w:sz w:val="18"/>
                <w:szCs w:val="18"/>
              </w:rPr>
            </w:pPr>
          </w:p>
        </w:tc>
        <w:tc>
          <w:tcPr>
            <w:tcW w:w="2035" w:type="dxa"/>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Receptionist</w:t>
            </w:r>
          </w:p>
        </w:tc>
      </w:tr>
      <w:tr w:rsidR="00AC569D" w:rsidTr="000E680A">
        <w:tc>
          <w:tcPr>
            <w:tcW w:w="2034" w:type="dxa"/>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Senior Systems Development Officer</w:t>
            </w:r>
          </w:p>
        </w:tc>
        <w:tc>
          <w:tcPr>
            <w:tcW w:w="2035" w:type="dxa"/>
            <w:gridSpan w:val="2"/>
            <w:tcBorders>
              <w:top w:val="nil"/>
              <w:left w:val="single" w:sz="4" w:space="0" w:color="auto"/>
              <w:bottom w:val="nil"/>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Electoral Liaison Officer</w:t>
            </w:r>
          </w:p>
        </w:tc>
        <w:tc>
          <w:tcPr>
            <w:tcW w:w="2034" w:type="dxa"/>
            <w:gridSpan w:val="2"/>
            <w:tcBorders>
              <w:top w:val="nil"/>
              <w:left w:val="single" w:sz="4" w:space="0" w:color="auto"/>
              <w:bottom w:val="nil"/>
              <w:right w:val="nil"/>
            </w:tcBorders>
            <w:vAlign w:val="center"/>
          </w:tcPr>
          <w:p w:rsidR="00AC569D" w:rsidRPr="00AC569D" w:rsidRDefault="00AC569D" w:rsidP="00AC569D">
            <w:pPr>
              <w:pStyle w:val="BodyCopy"/>
              <w:jc w:val="center"/>
              <w:rPr>
                <w:caps/>
                <w:color w:val="auto"/>
                <w:spacing w:val="-13"/>
                <w:position w:val="-1"/>
                <w:sz w:val="18"/>
                <w:szCs w:val="18"/>
              </w:rPr>
            </w:pPr>
          </w:p>
        </w:tc>
        <w:tc>
          <w:tcPr>
            <w:tcW w:w="2035" w:type="dxa"/>
            <w:gridSpan w:val="2"/>
            <w:tcBorders>
              <w:top w:val="nil"/>
              <w:left w:val="nil"/>
              <w:bottom w:val="nil"/>
              <w:right w:val="single" w:sz="4" w:space="0" w:color="auto"/>
            </w:tcBorders>
            <w:vAlign w:val="center"/>
          </w:tcPr>
          <w:p w:rsidR="00AC569D" w:rsidRPr="00AC569D" w:rsidRDefault="00AC569D" w:rsidP="00AC569D">
            <w:pPr>
              <w:pStyle w:val="BodyCopy"/>
              <w:jc w:val="center"/>
              <w:rPr>
                <w:sz w:val="18"/>
                <w:szCs w:val="18"/>
              </w:rPr>
            </w:pPr>
          </w:p>
        </w:tc>
        <w:tc>
          <w:tcPr>
            <w:tcW w:w="2035" w:type="dxa"/>
            <w:tcBorders>
              <w:top w:val="nil"/>
              <w:left w:val="single" w:sz="4" w:space="0" w:color="auto"/>
              <w:bottom w:val="single" w:sz="4" w:space="0" w:color="auto"/>
              <w:right w:val="single" w:sz="4" w:space="0" w:color="auto"/>
            </w:tcBorders>
            <w:vAlign w:val="center"/>
          </w:tcPr>
          <w:p w:rsidR="00AC569D" w:rsidRPr="00AC569D" w:rsidRDefault="00AC569D" w:rsidP="00AC569D">
            <w:pPr>
              <w:pStyle w:val="BodyCopy"/>
              <w:jc w:val="center"/>
              <w:rPr>
                <w:sz w:val="18"/>
                <w:szCs w:val="18"/>
              </w:rPr>
            </w:pPr>
            <w:r w:rsidRPr="00AC569D">
              <w:rPr>
                <w:rStyle w:val="A18"/>
                <w:sz w:val="18"/>
                <w:szCs w:val="18"/>
              </w:rPr>
              <w:t>Receptionist (0.6 FTE)</w:t>
            </w:r>
          </w:p>
        </w:tc>
      </w:tr>
      <w:tr w:rsidR="00AC569D" w:rsidTr="000E680A">
        <w:tc>
          <w:tcPr>
            <w:tcW w:w="2034" w:type="dxa"/>
            <w:tcBorders>
              <w:top w:val="nil"/>
              <w:left w:val="single" w:sz="4" w:space="0" w:color="auto"/>
              <w:bottom w:val="single" w:sz="4" w:space="0" w:color="auto"/>
              <w:right w:val="single" w:sz="4" w:space="0" w:color="auto"/>
            </w:tcBorders>
            <w:vAlign w:val="center"/>
          </w:tcPr>
          <w:p w:rsidR="008A0474" w:rsidRPr="00AC569D" w:rsidRDefault="008A0474" w:rsidP="00AC569D">
            <w:pPr>
              <w:pStyle w:val="BodyCopy"/>
              <w:jc w:val="center"/>
              <w:rPr>
                <w:caps/>
                <w:color w:val="auto"/>
                <w:spacing w:val="-13"/>
                <w:position w:val="-1"/>
                <w:sz w:val="18"/>
                <w:szCs w:val="18"/>
              </w:rPr>
            </w:pPr>
          </w:p>
        </w:tc>
        <w:tc>
          <w:tcPr>
            <w:tcW w:w="2035" w:type="dxa"/>
            <w:gridSpan w:val="2"/>
            <w:tcBorders>
              <w:top w:val="nil"/>
              <w:left w:val="single" w:sz="4" w:space="0" w:color="auto"/>
              <w:bottom w:val="single" w:sz="4" w:space="0" w:color="auto"/>
              <w:right w:val="single" w:sz="4" w:space="0" w:color="auto"/>
            </w:tcBorders>
            <w:vAlign w:val="center"/>
          </w:tcPr>
          <w:p w:rsidR="008A0474" w:rsidRPr="00AC569D" w:rsidRDefault="008A0474" w:rsidP="00AC569D">
            <w:pPr>
              <w:pStyle w:val="BodyCopy"/>
              <w:jc w:val="center"/>
              <w:rPr>
                <w:sz w:val="18"/>
                <w:szCs w:val="18"/>
              </w:rPr>
            </w:pPr>
            <w:r w:rsidRPr="00AC569D">
              <w:rPr>
                <w:rStyle w:val="A18"/>
                <w:sz w:val="18"/>
                <w:szCs w:val="18"/>
              </w:rPr>
              <w:t>Project Officer (x3)</w:t>
            </w:r>
          </w:p>
        </w:tc>
        <w:tc>
          <w:tcPr>
            <w:tcW w:w="2034" w:type="dxa"/>
            <w:gridSpan w:val="2"/>
            <w:tcBorders>
              <w:top w:val="nil"/>
              <w:left w:val="single" w:sz="4" w:space="0" w:color="auto"/>
              <w:bottom w:val="nil"/>
              <w:right w:val="nil"/>
            </w:tcBorders>
            <w:vAlign w:val="center"/>
          </w:tcPr>
          <w:p w:rsidR="008A0474" w:rsidRPr="00AC569D" w:rsidRDefault="008A0474" w:rsidP="00AC569D">
            <w:pPr>
              <w:pStyle w:val="BodyCopy"/>
              <w:jc w:val="center"/>
              <w:rPr>
                <w:caps/>
                <w:color w:val="auto"/>
                <w:spacing w:val="-13"/>
                <w:position w:val="-1"/>
                <w:sz w:val="18"/>
                <w:szCs w:val="18"/>
              </w:rPr>
            </w:pPr>
          </w:p>
        </w:tc>
        <w:tc>
          <w:tcPr>
            <w:tcW w:w="2035" w:type="dxa"/>
            <w:gridSpan w:val="2"/>
            <w:tcBorders>
              <w:top w:val="nil"/>
              <w:left w:val="nil"/>
              <w:bottom w:val="nil"/>
              <w:right w:val="nil"/>
            </w:tcBorders>
            <w:vAlign w:val="center"/>
          </w:tcPr>
          <w:p w:rsidR="008A0474" w:rsidRPr="00AC569D" w:rsidRDefault="008A0474" w:rsidP="00AC569D">
            <w:pPr>
              <w:pStyle w:val="BodyCopy"/>
              <w:jc w:val="center"/>
              <w:rPr>
                <w:caps/>
                <w:color w:val="auto"/>
                <w:spacing w:val="-13"/>
                <w:position w:val="-1"/>
                <w:sz w:val="18"/>
                <w:szCs w:val="18"/>
              </w:rPr>
            </w:pPr>
          </w:p>
        </w:tc>
        <w:tc>
          <w:tcPr>
            <w:tcW w:w="2035" w:type="dxa"/>
            <w:tcBorders>
              <w:top w:val="single" w:sz="4" w:space="0" w:color="auto"/>
              <w:left w:val="nil"/>
              <w:bottom w:val="nil"/>
              <w:right w:val="nil"/>
            </w:tcBorders>
            <w:vAlign w:val="center"/>
          </w:tcPr>
          <w:p w:rsidR="008A0474" w:rsidRPr="00AC569D" w:rsidRDefault="008A0474" w:rsidP="00AC569D">
            <w:pPr>
              <w:pStyle w:val="BodyCopy"/>
              <w:jc w:val="center"/>
              <w:rPr>
                <w:caps/>
                <w:color w:val="auto"/>
                <w:spacing w:val="-13"/>
                <w:position w:val="-1"/>
                <w:sz w:val="18"/>
                <w:szCs w:val="18"/>
              </w:rPr>
            </w:pPr>
          </w:p>
        </w:tc>
      </w:tr>
    </w:tbl>
    <w:p w:rsidR="008A0474" w:rsidRPr="008A0474" w:rsidRDefault="008A0474" w:rsidP="008A0474">
      <w:pPr>
        <w:pStyle w:val="BodyCopy"/>
        <w:rPr>
          <w:caps/>
          <w:spacing w:val="-13"/>
          <w:position w:val="-1"/>
        </w:rPr>
      </w:pPr>
    </w:p>
    <w:p w:rsidR="00FA69B7" w:rsidRDefault="00FA69B7" w:rsidP="00FA69B7">
      <w:pPr>
        <w:pStyle w:val="BC"/>
      </w:pPr>
      <w:r>
        <w:br w:type="page"/>
      </w:r>
    </w:p>
    <w:p w:rsidR="008A0474" w:rsidRDefault="008A0474" w:rsidP="00FA69B7">
      <w:pPr>
        <w:pStyle w:val="Heading"/>
        <w:sectPr w:rsidR="008A0474" w:rsidSect="00DE5DA3">
          <w:pgSz w:w="11906" w:h="16838"/>
          <w:pgMar w:top="720" w:right="720" w:bottom="720" w:left="720" w:header="720" w:footer="720" w:gutter="0"/>
          <w:cols w:space="720"/>
          <w:noEndnote/>
        </w:sectPr>
      </w:pPr>
    </w:p>
    <w:p w:rsidR="00090DBE" w:rsidRPr="00050291" w:rsidRDefault="00050291" w:rsidP="00F73CE3">
      <w:pPr>
        <w:pStyle w:val="Heading1largeAR"/>
      </w:pPr>
      <w:r>
        <w:lastRenderedPageBreak/>
        <w:t xml:space="preserve">The Year in </w:t>
      </w:r>
      <w:r w:rsidR="00090DBE" w:rsidRPr="00050291">
        <w:t xml:space="preserve">Review </w:t>
      </w:r>
    </w:p>
    <w:p w:rsidR="00090DBE" w:rsidRPr="00050291" w:rsidRDefault="00090DBE" w:rsidP="00090DBE">
      <w:pPr>
        <w:pStyle w:val="Heading1AR"/>
        <w:rPr>
          <w:rFonts w:ascii="Arial" w:hAnsi="Arial" w:cs="Arial"/>
        </w:rPr>
        <w:sectPr w:rsidR="00090DBE" w:rsidRPr="00050291" w:rsidSect="00050291">
          <w:type w:val="continuous"/>
          <w:pgSz w:w="11906" w:h="16838"/>
          <w:pgMar w:top="720" w:right="1416" w:bottom="720" w:left="720" w:header="720" w:footer="720" w:gutter="0"/>
          <w:cols w:space="130"/>
          <w:noEndnote/>
        </w:sectPr>
      </w:pPr>
    </w:p>
    <w:p w:rsidR="00FA69B7" w:rsidRPr="00F73CE3" w:rsidRDefault="00FA69B7" w:rsidP="00F73CE3">
      <w:pPr>
        <w:pStyle w:val="Heading1AR"/>
      </w:pPr>
      <w:r w:rsidRPr="00F73CE3">
        <w:lastRenderedPageBreak/>
        <w:t>Highlights: 2014–15</w:t>
      </w:r>
    </w:p>
    <w:p w:rsidR="00FA69B7" w:rsidRDefault="00FA69B7" w:rsidP="00FA69B7">
      <w:pPr>
        <w:pStyle w:val="SubHead"/>
        <w:rPr>
          <w:sz w:val="24"/>
          <w:szCs w:val="24"/>
        </w:rPr>
        <w:sectPr w:rsidR="00FA69B7" w:rsidSect="00DE5DA3">
          <w:type w:val="continuous"/>
          <w:pgSz w:w="11906" w:h="16838"/>
          <w:pgMar w:top="720" w:right="720" w:bottom="720" w:left="720" w:header="720" w:footer="720" w:gutter="0"/>
          <w:cols w:space="720"/>
          <w:noEndnote/>
        </w:sectPr>
      </w:pPr>
    </w:p>
    <w:p w:rsidR="00FA69B7" w:rsidRDefault="00FA69B7" w:rsidP="00F73CE3">
      <w:pPr>
        <w:pStyle w:val="Heading4AR"/>
      </w:pPr>
      <w:r>
        <w:lastRenderedPageBreak/>
        <w:t xml:space="preserve">parliamentary by-election </w:t>
      </w:r>
    </w:p>
    <w:p w:rsidR="00FA69B7" w:rsidRPr="0041683D" w:rsidRDefault="00FA69B7" w:rsidP="00FA69B7">
      <w:pPr>
        <w:pStyle w:val="BC"/>
        <w:rPr>
          <w:color w:val="auto"/>
          <w:sz w:val="20"/>
          <w:szCs w:val="20"/>
        </w:rPr>
      </w:pPr>
      <w:r w:rsidRPr="0041683D">
        <w:rPr>
          <w:color w:val="auto"/>
          <w:sz w:val="20"/>
          <w:szCs w:val="20"/>
        </w:rPr>
        <w:t xml:space="preserve">In October 2014 a by-election was held in the Legislative Assembly district of </w:t>
      </w:r>
      <w:proofErr w:type="spellStart"/>
      <w:r w:rsidRPr="0041683D">
        <w:rPr>
          <w:color w:val="auto"/>
          <w:sz w:val="20"/>
          <w:szCs w:val="20"/>
        </w:rPr>
        <w:t>Vasse</w:t>
      </w:r>
      <w:proofErr w:type="spellEnd"/>
      <w:r w:rsidRPr="0041683D">
        <w:rPr>
          <w:color w:val="auto"/>
          <w:sz w:val="20"/>
          <w:szCs w:val="20"/>
        </w:rPr>
        <w:t>. In April 2015 a re-count was held for the North Metropolitan Region of the Legislative Council. In January 2015 polls were held for five metropolitan councils in relation to proposed amalgamations.</w:t>
      </w:r>
    </w:p>
    <w:p w:rsidR="00FA69B7" w:rsidRDefault="00F73CE3" w:rsidP="00F73CE3">
      <w:pPr>
        <w:pStyle w:val="Heading4AR"/>
      </w:pPr>
      <w:r>
        <w:t xml:space="preserve">elections for </w:t>
      </w:r>
      <w:r w:rsidR="00FA69B7">
        <w:t>88 local governments</w:t>
      </w:r>
    </w:p>
    <w:p w:rsidR="00FA69B7" w:rsidRPr="0041683D" w:rsidRDefault="00FA69B7" w:rsidP="00FA69B7">
      <w:pPr>
        <w:pStyle w:val="BC"/>
        <w:rPr>
          <w:color w:val="auto"/>
          <w:sz w:val="20"/>
          <w:szCs w:val="20"/>
        </w:rPr>
      </w:pPr>
      <w:r w:rsidRPr="0041683D">
        <w:rPr>
          <w:color w:val="auto"/>
          <w:sz w:val="20"/>
          <w:szCs w:val="20"/>
        </w:rPr>
        <w:t>Planning for the October Local Government elections began in earnest once the amalgamation polls had concluded. The Commission will conduct elections for 88 local governments, the most it has ever conducted.</w:t>
      </w:r>
    </w:p>
    <w:p w:rsidR="00FA69B7" w:rsidRPr="00050291" w:rsidRDefault="00FA69B7" w:rsidP="00F73CE3">
      <w:pPr>
        <w:pStyle w:val="Heading4AR"/>
      </w:pPr>
      <w:r w:rsidRPr="00050291">
        <w:t>review of state election planning</w:t>
      </w:r>
    </w:p>
    <w:p w:rsidR="00FA69B7" w:rsidRPr="0041683D" w:rsidRDefault="00FA69B7" w:rsidP="00FA69B7">
      <w:pPr>
        <w:pStyle w:val="BC"/>
        <w:rPr>
          <w:color w:val="auto"/>
          <w:sz w:val="20"/>
          <w:szCs w:val="20"/>
        </w:rPr>
      </w:pPr>
      <w:r w:rsidRPr="0041683D">
        <w:rPr>
          <w:color w:val="auto"/>
          <w:sz w:val="20"/>
          <w:szCs w:val="20"/>
        </w:rPr>
        <w:t>Assessment of key learnings from the 2013 State General Election also gathered pace during the year to ensure that there would be sufficient time for implementation ahead of the next election in 2017.</w:t>
      </w:r>
    </w:p>
    <w:p w:rsidR="00FA69B7" w:rsidRPr="00050291" w:rsidRDefault="00FA69B7" w:rsidP="00F73CE3">
      <w:pPr>
        <w:pStyle w:val="Heading4AR"/>
      </w:pPr>
      <w:r w:rsidRPr="00050291">
        <w:t>fee for service elections</w:t>
      </w:r>
    </w:p>
    <w:p w:rsidR="00FA69B7" w:rsidRPr="0041683D" w:rsidRDefault="00FA69B7" w:rsidP="00FA69B7">
      <w:pPr>
        <w:pStyle w:val="BC"/>
        <w:rPr>
          <w:color w:val="auto"/>
          <w:sz w:val="20"/>
          <w:szCs w:val="20"/>
        </w:rPr>
      </w:pPr>
      <w:r w:rsidRPr="0041683D">
        <w:rPr>
          <w:color w:val="auto"/>
          <w:sz w:val="20"/>
          <w:szCs w:val="20"/>
        </w:rPr>
        <w:t>The Commission’s non-parliamentary section conducted 33 electoral events for union and private organisations and provided extensive advice to private organisations on best practice in relation to election rules.</w:t>
      </w:r>
    </w:p>
    <w:p w:rsidR="00FA69B7" w:rsidRPr="00050291" w:rsidRDefault="00FA69B7" w:rsidP="00F73CE3">
      <w:pPr>
        <w:pStyle w:val="Heading4AR"/>
      </w:pPr>
      <w:r w:rsidRPr="00050291">
        <w:t>Education and awareness</w:t>
      </w:r>
    </w:p>
    <w:p w:rsidR="00FA69B7" w:rsidRPr="0041683D" w:rsidRDefault="00FA69B7" w:rsidP="00FA69B7">
      <w:pPr>
        <w:pStyle w:val="BC"/>
        <w:rPr>
          <w:color w:val="auto"/>
          <w:sz w:val="20"/>
          <w:szCs w:val="20"/>
        </w:rPr>
      </w:pPr>
      <w:r w:rsidRPr="0041683D">
        <w:rPr>
          <w:color w:val="auto"/>
          <w:sz w:val="20"/>
          <w:szCs w:val="20"/>
        </w:rPr>
        <w:t>There were 300 school visits to or by the Education Centre involving over 30,000 individual students.</w:t>
      </w:r>
    </w:p>
    <w:p w:rsidR="00FA69B7" w:rsidRPr="00050291" w:rsidRDefault="00F73CE3" w:rsidP="00F73CE3">
      <w:pPr>
        <w:pStyle w:val="Heading4AR"/>
        <w:rPr>
          <w:b/>
          <w:bCs/>
          <w:i/>
          <w:iCs/>
        </w:rPr>
      </w:pPr>
      <w:r>
        <w:t xml:space="preserve">recommendations </w:t>
      </w:r>
      <w:r w:rsidR="00FA69B7" w:rsidRPr="00050291">
        <w:t>for electoral reform</w:t>
      </w:r>
    </w:p>
    <w:p w:rsidR="00FA69B7" w:rsidRPr="0041683D" w:rsidRDefault="00FA69B7" w:rsidP="00FA69B7">
      <w:pPr>
        <w:pStyle w:val="BC"/>
        <w:rPr>
          <w:color w:val="auto"/>
          <w:sz w:val="20"/>
          <w:szCs w:val="20"/>
        </w:rPr>
      </w:pPr>
      <w:r w:rsidRPr="0041683D">
        <w:rPr>
          <w:color w:val="auto"/>
          <w:sz w:val="20"/>
          <w:szCs w:val="20"/>
        </w:rPr>
        <w:t>A number of recommendations for reform of the Electoral Act were made to the Western Australian government, including provision of internet voting for people with disabilities to enable them to vote in secret; internet voting as an adjunct to postal voting for electors in remote areas or who happen to be outside of the State when an election is held; bringing Western Australia’s enrolment provisions into line with the Commonwealth’s; and relaxation of the requirement to make a declaration of eligibility in order to cast an early vote. Some recommendations are expected to be implemented prior to the 2017 general election.</w:t>
      </w:r>
    </w:p>
    <w:p w:rsidR="00FA69B7" w:rsidRPr="00050291" w:rsidRDefault="00FA69B7" w:rsidP="00F73CE3">
      <w:pPr>
        <w:pStyle w:val="Heading4AR"/>
      </w:pPr>
      <w:r w:rsidRPr="00050291">
        <w:t>review of electoral boundaries</w:t>
      </w:r>
    </w:p>
    <w:p w:rsidR="00FA69B7" w:rsidRPr="0041683D" w:rsidRDefault="00FA69B7" w:rsidP="00FA69B7">
      <w:pPr>
        <w:pStyle w:val="BC"/>
        <w:rPr>
          <w:color w:val="auto"/>
          <w:sz w:val="20"/>
          <w:szCs w:val="20"/>
        </w:rPr>
      </w:pPr>
      <w:r w:rsidRPr="0041683D">
        <w:rPr>
          <w:color w:val="auto"/>
          <w:sz w:val="20"/>
          <w:szCs w:val="20"/>
        </w:rPr>
        <w:t xml:space="preserve">Extensive mapping, research and administrative support </w:t>
      </w:r>
      <w:proofErr w:type="gramStart"/>
      <w:r w:rsidRPr="0041683D">
        <w:rPr>
          <w:color w:val="auto"/>
          <w:sz w:val="20"/>
          <w:szCs w:val="20"/>
        </w:rPr>
        <w:t>was</w:t>
      </w:r>
      <w:proofErr w:type="gramEnd"/>
      <w:r w:rsidRPr="0041683D">
        <w:rPr>
          <w:color w:val="auto"/>
          <w:sz w:val="20"/>
          <w:szCs w:val="20"/>
        </w:rPr>
        <w:t xml:space="preserve"> provided for the Western Australian Distribution Commissioners.</w:t>
      </w:r>
    </w:p>
    <w:p w:rsidR="00FA69B7" w:rsidRPr="00050291" w:rsidRDefault="00F73CE3" w:rsidP="00F73CE3">
      <w:pPr>
        <w:pStyle w:val="Heading4AR"/>
      </w:pPr>
      <w:r>
        <w:t xml:space="preserve">structural review </w:t>
      </w:r>
      <w:r w:rsidR="00FA69B7" w:rsidRPr="00050291">
        <w:t>of the Commission</w:t>
      </w:r>
    </w:p>
    <w:p w:rsidR="00FA69B7" w:rsidRPr="0041683D" w:rsidRDefault="00FA69B7" w:rsidP="00FA69B7">
      <w:pPr>
        <w:pStyle w:val="BC"/>
        <w:rPr>
          <w:color w:val="auto"/>
          <w:sz w:val="20"/>
          <w:szCs w:val="20"/>
        </w:rPr>
      </w:pPr>
      <w:r w:rsidRPr="0041683D">
        <w:rPr>
          <w:color w:val="auto"/>
          <w:sz w:val="20"/>
          <w:szCs w:val="20"/>
        </w:rPr>
        <w:t>A structural review of the Commission in late 2014 led to the creation of a single Election Operations Branch, bringing together previously stand-alone State, Local Government and fee for service elections branches to achieve greater efficiencies and facilitate better sharing of knowledge, skills and resources.</w:t>
      </w:r>
    </w:p>
    <w:p w:rsidR="00FA69B7" w:rsidRDefault="00FA69B7" w:rsidP="00FA69B7">
      <w:pPr>
        <w:pStyle w:val="BC"/>
      </w:pPr>
    </w:p>
    <w:p w:rsidR="00FA69B7" w:rsidRPr="0041683D" w:rsidRDefault="00FA69B7" w:rsidP="0041683D">
      <w:pPr>
        <w:pStyle w:val="BodyCopy"/>
        <w:rPr>
          <w:sz w:val="24"/>
          <w:szCs w:val="24"/>
        </w:rPr>
        <w:sectPr w:rsidR="00FA69B7" w:rsidRPr="0041683D" w:rsidSect="00B149BC">
          <w:type w:val="continuous"/>
          <w:pgSz w:w="11906" w:h="16838"/>
          <w:pgMar w:top="720" w:right="720" w:bottom="720" w:left="720" w:header="720" w:footer="720" w:gutter="0"/>
          <w:cols w:space="720"/>
          <w:noEndnote/>
        </w:sectPr>
      </w:pPr>
    </w:p>
    <w:p w:rsidR="001D6958" w:rsidRDefault="001D6958" w:rsidP="00F73CE3">
      <w:pPr>
        <w:pStyle w:val="Heading2AR"/>
      </w:pPr>
      <w:r>
        <w:lastRenderedPageBreak/>
        <w:br w:type="page"/>
      </w:r>
    </w:p>
    <w:p w:rsidR="00FA69B7" w:rsidRPr="00050291" w:rsidRDefault="00FA69B7" w:rsidP="00F73CE3">
      <w:pPr>
        <w:pStyle w:val="Heading2AR"/>
      </w:pPr>
      <w:r w:rsidRPr="00050291">
        <w:lastRenderedPageBreak/>
        <w:t>Social media</w:t>
      </w:r>
    </w:p>
    <w:p w:rsidR="00FA69B7" w:rsidRPr="00050291" w:rsidRDefault="00FA69B7" w:rsidP="00FA69B7">
      <w:pPr>
        <w:pStyle w:val="BC"/>
        <w:sectPr w:rsidR="00FA69B7" w:rsidRPr="00050291" w:rsidSect="00DE5DA3">
          <w:type w:val="continuous"/>
          <w:pgSz w:w="11906" w:h="16838"/>
          <w:pgMar w:top="720" w:right="720" w:bottom="720" w:left="720" w:header="720" w:footer="720" w:gutter="0"/>
          <w:cols w:space="720"/>
          <w:noEndnote/>
        </w:sectPr>
      </w:pPr>
    </w:p>
    <w:p w:rsidR="00271B0D" w:rsidRDefault="00FA69B7" w:rsidP="00FA69B7">
      <w:pPr>
        <w:pStyle w:val="BC"/>
        <w:rPr>
          <w:color w:val="auto"/>
          <w:sz w:val="20"/>
          <w:szCs w:val="20"/>
        </w:rPr>
        <w:sectPr w:rsidR="00271B0D" w:rsidSect="00DE5DA3">
          <w:type w:val="continuous"/>
          <w:pgSz w:w="11906" w:h="16838"/>
          <w:pgMar w:top="720" w:right="720" w:bottom="720" w:left="720" w:header="720" w:footer="720" w:gutter="0"/>
          <w:cols w:num="2" w:space="720"/>
          <w:noEndnote/>
        </w:sectPr>
      </w:pPr>
      <w:r w:rsidRPr="0041683D">
        <w:rPr>
          <w:color w:val="auto"/>
          <w:sz w:val="20"/>
          <w:szCs w:val="20"/>
        </w:rPr>
        <w:lastRenderedPageBreak/>
        <w:t xml:space="preserve">During the year the Commission continued to extend its use of social media, in particular Facebook, as a vehicle for delivering information concerning enrolment </w:t>
      </w:r>
      <w:r w:rsidRPr="0041683D">
        <w:rPr>
          <w:color w:val="auto"/>
          <w:sz w:val="20"/>
          <w:szCs w:val="20"/>
        </w:rPr>
        <w:lastRenderedPageBreak/>
        <w:t>and election activities and as a means of obtaining stakeholder feedback. Social media channels are proving to be useful for e</w:t>
      </w:r>
    </w:p>
    <w:p w:rsidR="00271B0D" w:rsidRDefault="00FA69B7" w:rsidP="00FA69B7">
      <w:pPr>
        <w:pStyle w:val="BC"/>
        <w:rPr>
          <w:color w:val="auto"/>
          <w:sz w:val="20"/>
          <w:szCs w:val="20"/>
        </w:rPr>
        <w:sectPr w:rsidR="00271B0D" w:rsidSect="00271B0D">
          <w:type w:val="continuous"/>
          <w:pgSz w:w="11906" w:h="16838"/>
          <w:pgMar w:top="720" w:right="720" w:bottom="720" w:left="720" w:header="720" w:footer="720" w:gutter="0"/>
          <w:cols w:space="720"/>
          <w:noEndnote/>
        </w:sectPr>
      </w:pPr>
      <w:proofErr w:type="gramStart"/>
      <w:r w:rsidRPr="0041683D">
        <w:rPr>
          <w:color w:val="auto"/>
          <w:sz w:val="20"/>
          <w:szCs w:val="20"/>
        </w:rPr>
        <w:lastRenderedPageBreak/>
        <w:t>n</w:t>
      </w:r>
      <w:proofErr w:type="gramEnd"/>
    </w:p>
    <w:p w:rsidR="00FA69B7" w:rsidRPr="0041683D" w:rsidRDefault="00FA69B7" w:rsidP="00FA69B7">
      <w:pPr>
        <w:pStyle w:val="BC"/>
        <w:rPr>
          <w:color w:val="auto"/>
          <w:sz w:val="20"/>
          <w:szCs w:val="20"/>
        </w:rPr>
      </w:pPr>
      <w:proofErr w:type="gramStart"/>
      <w:r w:rsidRPr="0041683D">
        <w:rPr>
          <w:color w:val="auto"/>
          <w:sz w:val="20"/>
          <w:szCs w:val="20"/>
        </w:rPr>
        <w:lastRenderedPageBreak/>
        <w:t>gaging</w:t>
      </w:r>
      <w:proofErr w:type="gramEnd"/>
      <w:r w:rsidRPr="0041683D">
        <w:rPr>
          <w:color w:val="auto"/>
          <w:sz w:val="20"/>
          <w:szCs w:val="20"/>
        </w:rPr>
        <w:t xml:space="preserve"> with segments of the electorate who are difficult to reach by more traditional media channels, or have unfortunately become disengaged with mainstream political participation.</w:t>
      </w:r>
    </w:p>
    <w:p w:rsidR="00FA69B7" w:rsidRPr="0041683D" w:rsidRDefault="00FA69B7" w:rsidP="00FA69B7">
      <w:pPr>
        <w:pStyle w:val="BodyCopy"/>
        <w:rPr>
          <w:color w:val="auto"/>
          <w:sz w:val="24"/>
          <w:szCs w:val="24"/>
        </w:rPr>
        <w:sectPr w:rsidR="00FA69B7" w:rsidRPr="0041683D" w:rsidSect="00DE5DA3">
          <w:type w:val="continuous"/>
          <w:pgSz w:w="11906" w:h="16838"/>
          <w:pgMar w:top="720" w:right="720" w:bottom="720" w:left="720" w:header="720" w:footer="720" w:gutter="0"/>
          <w:cols w:num="2" w:space="720"/>
          <w:noEndnote/>
        </w:sectPr>
      </w:pPr>
      <w:r w:rsidRPr="0041683D">
        <w:rPr>
          <w:color w:val="auto"/>
          <w:sz w:val="20"/>
          <w:szCs w:val="20"/>
        </w:rPr>
        <w:t xml:space="preserve">The Commission is gradually building its level of in-house expertise in using social media and is making its </w:t>
      </w:r>
      <w:r w:rsidRPr="0041683D">
        <w:rPr>
          <w:color w:val="auto"/>
          <w:sz w:val="20"/>
          <w:szCs w:val="20"/>
        </w:rPr>
        <w:lastRenderedPageBreak/>
        <w:t>use a key plank in our communication strategy. For example, it has been used extensively to help publicise the successive consultation phases of the electoral boundary distribution process and to elicit feedback</w:t>
      </w:r>
      <w:r w:rsidRPr="0041683D">
        <w:rPr>
          <w:color w:val="auto"/>
        </w:rPr>
        <w:t>.</w:t>
      </w:r>
    </w:p>
    <w:p w:rsidR="00FA69B7" w:rsidRDefault="00FA69B7" w:rsidP="00FA69B7">
      <w:pPr>
        <w:pStyle w:val="BodyCopy"/>
        <w:rPr>
          <w:sz w:val="24"/>
          <w:szCs w:val="24"/>
        </w:rPr>
      </w:pPr>
    </w:p>
    <w:p w:rsidR="00FA69B7" w:rsidRPr="00050291" w:rsidRDefault="00FA69B7" w:rsidP="00F73CE3">
      <w:pPr>
        <w:pStyle w:val="Heading2AR"/>
      </w:pPr>
      <w:r w:rsidRPr="00050291">
        <w:t>Long serving Commission staff recognised</w:t>
      </w:r>
    </w:p>
    <w:p w:rsidR="00FA69B7" w:rsidRPr="00050291" w:rsidRDefault="00FA69B7" w:rsidP="00FA69B7">
      <w:pPr>
        <w:pStyle w:val="BC"/>
        <w:sectPr w:rsidR="00FA69B7" w:rsidRPr="00050291" w:rsidSect="00DE5DA3">
          <w:type w:val="continuous"/>
          <w:pgSz w:w="11906" w:h="16838"/>
          <w:pgMar w:top="720" w:right="720" w:bottom="720" w:left="720" w:header="720" w:footer="720" w:gutter="0"/>
          <w:cols w:space="720"/>
          <w:noEndnote/>
        </w:sectPr>
      </w:pPr>
    </w:p>
    <w:p w:rsidR="00FA69B7" w:rsidRPr="0041683D" w:rsidRDefault="00FA69B7" w:rsidP="00FA69B7">
      <w:pPr>
        <w:pStyle w:val="BC"/>
        <w:rPr>
          <w:color w:val="auto"/>
          <w:sz w:val="20"/>
          <w:szCs w:val="20"/>
        </w:rPr>
      </w:pPr>
      <w:r w:rsidRPr="0041683D">
        <w:rPr>
          <w:color w:val="auto"/>
          <w:sz w:val="20"/>
          <w:szCs w:val="20"/>
        </w:rPr>
        <w:lastRenderedPageBreak/>
        <w:t>One of the great strengths of the Electoral Commission is the knowledge and many years’ experience of its staff. This year</w:t>
      </w:r>
      <w:r w:rsidR="000E680A">
        <w:rPr>
          <w:color w:val="auto"/>
          <w:sz w:val="20"/>
          <w:szCs w:val="20"/>
        </w:rPr>
        <w:t>,</w:t>
      </w:r>
      <w:r w:rsidRPr="0041683D">
        <w:rPr>
          <w:color w:val="auto"/>
          <w:sz w:val="20"/>
          <w:szCs w:val="20"/>
        </w:rPr>
        <w:t xml:space="preserve"> two staff members recorded particularly impressive landmarks, Wayne Nicholson celebrating his 45th year at the Commission and Nigel </w:t>
      </w:r>
      <w:proofErr w:type="spellStart"/>
      <w:r w:rsidRPr="0041683D">
        <w:rPr>
          <w:color w:val="auto"/>
          <w:sz w:val="20"/>
          <w:szCs w:val="20"/>
        </w:rPr>
        <w:t>Bushby</w:t>
      </w:r>
      <w:proofErr w:type="spellEnd"/>
      <w:r w:rsidRPr="0041683D">
        <w:rPr>
          <w:color w:val="auto"/>
          <w:sz w:val="20"/>
          <w:szCs w:val="20"/>
        </w:rPr>
        <w:t xml:space="preserve"> not far behind with 40 years’ service. </w:t>
      </w:r>
    </w:p>
    <w:p w:rsidR="00FA69B7" w:rsidRDefault="00FA69B7" w:rsidP="00FA69B7">
      <w:pPr>
        <w:pStyle w:val="BodyCopy"/>
      </w:pPr>
      <w:r w:rsidRPr="0041683D">
        <w:rPr>
          <w:color w:val="auto"/>
          <w:sz w:val="20"/>
          <w:szCs w:val="20"/>
        </w:rPr>
        <w:br w:type="column"/>
      </w:r>
      <w:r w:rsidRPr="0041683D">
        <w:rPr>
          <w:color w:val="auto"/>
          <w:sz w:val="20"/>
          <w:szCs w:val="20"/>
        </w:rPr>
        <w:lastRenderedPageBreak/>
        <w:t>Throughout his career Wayne has been engaged in the planning and conduct of a vast array of electoral events, in recent years primarily as manager of non-parliamentary (fee for service) elections. Nigel has spent most of his career at the Electoral Education Centre, where his rapport with student groups is well recognised. In recognition of their impressive commitment and allegiance, the Electoral Commissioner decided to name meeting rooms (one in Head Office, one at the Education Centre) in their honour.</w:t>
      </w:r>
      <w:r>
        <w:br w:type="page"/>
      </w:r>
    </w:p>
    <w:p w:rsidR="00FA69B7" w:rsidRDefault="00FA69B7" w:rsidP="00FA69B7">
      <w:pPr>
        <w:pStyle w:val="Heading"/>
        <w:sectPr w:rsidR="00FA69B7" w:rsidSect="00DE5DA3">
          <w:type w:val="continuous"/>
          <w:pgSz w:w="11906" w:h="16838"/>
          <w:pgMar w:top="720" w:right="720" w:bottom="720" w:left="720" w:header="720" w:footer="720" w:gutter="0"/>
          <w:cols w:num="2" w:space="720"/>
          <w:noEndnote/>
        </w:sectPr>
      </w:pPr>
    </w:p>
    <w:p w:rsidR="00FA69B7" w:rsidRPr="00050291" w:rsidRDefault="00FA69B7" w:rsidP="00F73CE3">
      <w:pPr>
        <w:pStyle w:val="Heading2AR"/>
      </w:pPr>
      <w:r w:rsidRPr="00050291">
        <w:lastRenderedPageBreak/>
        <w:t>The year ahead</w:t>
      </w:r>
    </w:p>
    <w:p w:rsidR="00FA69B7" w:rsidRPr="00050291" w:rsidRDefault="00FA69B7" w:rsidP="00FA69B7">
      <w:pPr>
        <w:pStyle w:val="Intro"/>
        <w:rPr>
          <w:rFonts w:ascii="Arial" w:hAnsi="Arial" w:cs="Arial"/>
        </w:rPr>
      </w:pPr>
      <w:r w:rsidRPr="00050291">
        <w:rPr>
          <w:rFonts w:ascii="Arial" w:hAnsi="Arial" w:cs="Arial"/>
        </w:rPr>
        <w:t xml:space="preserve">The Commission’s immediate priority in the year ahead will be the conduct of the next round of Local Government elections. It is pleasing to see the level of confidence shown in the Commission with a record number of requests from local councils – 82 postal and 6 in person elections. </w:t>
      </w:r>
    </w:p>
    <w:p w:rsidR="00FA69B7" w:rsidRDefault="00FA69B7" w:rsidP="00FA69B7">
      <w:pPr>
        <w:pStyle w:val="BC"/>
        <w:sectPr w:rsidR="00FA69B7" w:rsidSect="00090DBE">
          <w:type w:val="continuous"/>
          <w:pgSz w:w="11906" w:h="16838"/>
          <w:pgMar w:top="720" w:right="849" w:bottom="720" w:left="720" w:header="720" w:footer="720" w:gutter="0"/>
          <w:cols w:space="720"/>
          <w:noEndnote/>
        </w:sectPr>
      </w:pPr>
    </w:p>
    <w:p w:rsidR="00FA69B7" w:rsidRPr="00050291" w:rsidRDefault="00FA69B7" w:rsidP="00FA69B7">
      <w:pPr>
        <w:pStyle w:val="BC"/>
        <w:rPr>
          <w:color w:val="auto"/>
          <w:sz w:val="20"/>
          <w:szCs w:val="20"/>
        </w:rPr>
      </w:pPr>
      <w:r w:rsidRPr="00050291">
        <w:rPr>
          <w:color w:val="auto"/>
          <w:sz w:val="20"/>
          <w:szCs w:val="20"/>
        </w:rPr>
        <w:lastRenderedPageBreak/>
        <w:t>The Commission has received a positive response to most of the legislative reforms it has proposed. Changes likely to be considered by the Western Australian Parliament in the forthcoming year include broadening the eligibility criteria for casting an early vote and enabling the Commission to pilot an internet voting facility for people with a disability to enable them to cast their vote in secret.</w:t>
      </w:r>
    </w:p>
    <w:p w:rsidR="00FA69B7" w:rsidRPr="00050291" w:rsidRDefault="00FA69B7" w:rsidP="00FA69B7">
      <w:pPr>
        <w:pStyle w:val="BC"/>
        <w:rPr>
          <w:color w:val="auto"/>
          <w:sz w:val="20"/>
          <w:szCs w:val="20"/>
        </w:rPr>
      </w:pPr>
      <w:r w:rsidRPr="00050291">
        <w:rPr>
          <w:color w:val="auto"/>
          <w:sz w:val="20"/>
          <w:szCs w:val="20"/>
        </w:rPr>
        <w:t>A Joint Roll Arrangement between the State and Commonwealth governments has been in place since 2005. Under that arrangement, much of the work required to manage the Western Australian roll is undertaken by the Australian Electoral Commission. Western Australia is required, however, to contribute its share of the overall cost. Both Commissions are engaged in consultation to review charges to ensure that they accurately reflect the contributions of both parties.</w:t>
      </w:r>
    </w:p>
    <w:p w:rsidR="00FA69B7" w:rsidRPr="00050291" w:rsidRDefault="00FA69B7" w:rsidP="00FA69B7">
      <w:pPr>
        <w:pStyle w:val="BC"/>
        <w:rPr>
          <w:color w:val="auto"/>
          <w:sz w:val="20"/>
          <w:szCs w:val="20"/>
        </w:rPr>
      </w:pPr>
      <w:r w:rsidRPr="00050291">
        <w:rPr>
          <w:color w:val="auto"/>
          <w:sz w:val="20"/>
          <w:szCs w:val="20"/>
        </w:rPr>
        <w:t xml:space="preserve">Legislation passed through the Federal parliament in 2012 now allows direct enrolment and automatic update of address details for the Commonwealth electoral roll. For Western Australian enrolment purposes, however, electors all stall are required to submit a signed enrolment form with evidence of their identity and place of birth. Despite the Commission’s best efforts to publicise these requirements, there has been a growing divergence between the Commonwealth and Western Australian electoral rolls, as depicted in the table on </w:t>
      </w:r>
      <w:r w:rsidRPr="00050291">
        <w:rPr>
          <w:color w:val="auto"/>
          <w:sz w:val="20"/>
          <w:szCs w:val="20"/>
        </w:rPr>
        <w:br/>
        <w:t>page 19.</w:t>
      </w:r>
    </w:p>
    <w:p w:rsidR="00FA69B7" w:rsidRPr="00050291" w:rsidRDefault="00FA69B7" w:rsidP="00FA69B7">
      <w:pPr>
        <w:pStyle w:val="BC"/>
        <w:rPr>
          <w:color w:val="auto"/>
          <w:sz w:val="20"/>
          <w:szCs w:val="20"/>
        </w:rPr>
      </w:pPr>
      <w:r w:rsidRPr="00050291">
        <w:rPr>
          <w:color w:val="auto"/>
          <w:sz w:val="20"/>
          <w:szCs w:val="20"/>
        </w:rPr>
        <w:t>The Commission will continue to advocate for consistency between State and Federal enrolment provisions and in the meantime remind Western Australian electors of the current requirement to lodge their own enrolment and address updates to be eligible to vote in State and local government elections.</w:t>
      </w:r>
    </w:p>
    <w:p w:rsidR="00FA69B7" w:rsidRPr="00050291" w:rsidRDefault="00FA69B7" w:rsidP="00FA69B7">
      <w:pPr>
        <w:pStyle w:val="BodyCopy"/>
        <w:rPr>
          <w:color w:val="auto"/>
        </w:rPr>
      </w:pPr>
      <w:r w:rsidRPr="00050291">
        <w:rPr>
          <w:color w:val="auto"/>
          <w:sz w:val="20"/>
          <w:szCs w:val="20"/>
        </w:rPr>
        <w:t xml:space="preserve">A key issue for the Commission in the year ahead will be the review of practices and procedures surrounding the handling and security of ballot papers, to take account of experiences elsewhere. Both the </w:t>
      </w:r>
      <w:proofErr w:type="spellStart"/>
      <w:r w:rsidRPr="00050291">
        <w:rPr>
          <w:color w:val="auto"/>
          <w:sz w:val="20"/>
          <w:szCs w:val="20"/>
        </w:rPr>
        <w:t>Keelty</w:t>
      </w:r>
      <w:proofErr w:type="spellEnd"/>
      <w:r w:rsidRPr="00050291">
        <w:rPr>
          <w:color w:val="auto"/>
          <w:sz w:val="20"/>
          <w:szCs w:val="20"/>
        </w:rPr>
        <w:t xml:space="preserve"> Report and a subsequent inquiry by the Commonwealth Parliament’s Joint Standing Committee on Electoral Matters into the loss of ballot papers by the Australian Electoral Commission in the 2013 Western Australian Senate election drew attention to cultural and procedural deficiencies in the handling of ballot papers. These reports provide a salutary lesson for all electoral management bodies in relation to the critical importance of rules and procedures governing the handling and security of ballot material and will provide an even stronger focal point in the training of all of the Commission’s electoral officials in the years ahead.</w:t>
      </w:r>
    </w:p>
    <w:p w:rsidR="00E879A2" w:rsidRDefault="00090DBE" w:rsidP="00E879A2">
      <w:pPr>
        <w:pStyle w:val="BodyCopy"/>
        <w:rPr>
          <w:rFonts w:cs="Myriad Pro"/>
          <w:color w:val="000000"/>
          <w:sz w:val="20"/>
          <w:szCs w:val="20"/>
        </w:rPr>
      </w:pPr>
      <w:r w:rsidRPr="00090DBE">
        <w:rPr>
          <w:b/>
          <w:bCs/>
          <w:color w:val="006198"/>
          <w:sz w:val="20"/>
          <w:szCs w:val="20"/>
        </w:rPr>
        <w:t>Roll Divergence</w:t>
      </w:r>
      <w:r w:rsidR="00E879A2" w:rsidRPr="00E879A2">
        <w:rPr>
          <w:rFonts w:cs="Myriad Pro"/>
          <w:color w:val="000000"/>
          <w:sz w:val="20"/>
          <w:szCs w:val="20"/>
        </w:rPr>
        <w:t xml:space="preserve"> </w:t>
      </w:r>
    </w:p>
    <w:p w:rsidR="00E879A2" w:rsidRPr="00050291" w:rsidRDefault="00E879A2" w:rsidP="00E879A2">
      <w:pPr>
        <w:pStyle w:val="BodyCopy"/>
        <w:rPr>
          <w:color w:val="auto"/>
          <w:sz w:val="20"/>
          <w:szCs w:val="20"/>
        </w:rPr>
      </w:pPr>
      <w:r w:rsidRPr="00050291">
        <w:rPr>
          <w:rFonts w:cs="Myriad Pro"/>
          <w:color w:val="auto"/>
          <w:sz w:val="20"/>
          <w:szCs w:val="20"/>
        </w:rPr>
        <w:t>The Commission will continue to advocate for consistency between State and Federal enrolment provisions and in the meantime remind Western Australian electors of the current requirement to lodge their own enrolment and address updates to be eligible to vote in State elections.</w:t>
      </w:r>
      <w:r w:rsidRPr="00050291">
        <w:rPr>
          <w:color w:val="auto"/>
          <w:sz w:val="20"/>
          <w:szCs w:val="20"/>
        </w:rPr>
        <w:t xml:space="preserve"> </w:t>
      </w:r>
    </w:p>
    <w:p w:rsidR="00090DBE" w:rsidRPr="00090DBE" w:rsidRDefault="00090DBE" w:rsidP="00090DBE">
      <w:pPr>
        <w:pStyle w:val="BodyCopy"/>
        <w:jc w:val="center"/>
        <w:rPr>
          <w:sz w:val="20"/>
          <w:szCs w:val="20"/>
        </w:rPr>
      </w:pPr>
    </w:p>
    <w:tbl>
      <w:tblPr>
        <w:tblW w:w="8021" w:type="dxa"/>
        <w:tblInd w:w="80" w:type="dxa"/>
        <w:tblLayout w:type="fixed"/>
        <w:tblCellMar>
          <w:left w:w="0" w:type="dxa"/>
          <w:right w:w="0" w:type="dxa"/>
        </w:tblCellMar>
        <w:tblLook w:val="0000" w:firstRow="0" w:lastRow="0" w:firstColumn="0" w:lastColumn="0" w:noHBand="0" w:noVBand="0"/>
      </w:tblPr>
      <w:tblGrid>
        <w:gridCol w:w="1560"/>
        <w:gridCol w:w="1559"/>
        <w:gridCol w:w="1275"/>
        <w:gridCol w:w="1417"/>
        <w:gridCol w:w="2210"/>
      </w:tblGrid>
      <w:tr w:rsidR="00090DBE" w:rsidRPr="00FA69B7" w:rsidTr="00271B0D">
        <w:trPr>
          <w:trHeight w:val="60"/>
        </w:trPr>
        <w:tc>
          <w:tcPr>
            <w:tcW w:w="1560" w:type="dxa"/>
            <w:tcBorders>
              <w:top w:val="single" w:sz="6" w:space="0" w:color="auto"/>
              <w:left w:val="single" w:sz="6" w:space="0" w:color="auto"/>
              <w:bottom w:val="single" w:sz="6" w:space="0" w:color="006198"/>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color w:val="58585B"/>
                <w:sz w:val="20"/>
                <w:szCs w:val="20"/>
                <w:lang w:val="en-GB"/>
              </w:rPr>
            </w:pPr>
            <w:r w:rsidRPr="00271B0D">
              <w:rPr>
                <w:rFonts w:ascii="Arial" w:hAnsi="Arial" w:cs="Arial"/>
                <w:b/>
                <w:bCs/>
                <w:color w:val="006198"/>
                <w:sz w:val="20"/>
                <w:szCs w:val="20"/>
                <w:lang w:val="en-GB"/>
              </w:rPr>
              <w:t>Report Date</w:t>
            </w:r>
          </w:p>
        </w:tc>
        <w:tc>
          <w:tcPr>
            <w:tcW w:w="1559" w:type="dxa"/>
            <w:tcBorders>
              <w:top w:val="single" w:sz="6" w:space="0" w:color="auto"/>
              <w:left w:val="single" w:sz="4" w:space="0" w:color="58585B"/>
              <w:bottom w:val="single" w:sz="6" w:space="0" w:color="006198"/>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090DBE" w:rsidP="00090DBE">
            <w:pPr>
              <w:suppressAutoHyphens/>
              <w:autoSpaceDE w:val="0"/>
              <w:autoSpaceDN w:val="0"/>
              <w:adjustRightInd w:val="0"/>
              <w:spacing w:after="0" w:line="240" w:lineRule="auto"/>
              <w:jc w:val="center"/>
              <w:textAlignment w:val="center"/>
              <w:rPr>
                <w:rFonts w:ascii="Arial" w:hAnsi="Arial" w:cs="Arial"/>
                <w:color w:val="58585B"/>
                <w:sz w:val="20"/>
                <w:szCs w:val="20"/>
                <w:lang w:val="en-GB"/>
              </w:rPr>
            </w:pPr>
            <w:r w:rsidRPr="00271B0D">
              <w:rPr>
                <w:rFonts w:ascii="Arial" w:hAnsi="Arial" w:cs="Arial"/>
                <w:b/>
                <w:bCs/>
                <w:color w:val="006198"/>
                <w:sz w:val="20"/>
                <w:szCs w:val="20"/>
                <w:lang w:val="en-GB"/>
              </w:rPr>
              <w:t>AEC WA</w:t>
            </w:r>
            <w:r w:rsidRPr="00271B0D">
              <w:rPr>
                <w:rFonts w:ascii="Arial" w:hAnsi="Arial" w:cs="Arial"/>
                <w:b/>
                <w:bCs/>
                <w:color w:val="006198"/>
                <w:sz w:val="20"/>
                <w:szCs w:val="20"/>
                <w:lang w:val="en-GB"/>
              </w:rPr>
              <w:br/>
            </w:r>
            <w:r w:rsidR="00FA69B7" w:rsidRPr="00271B0D">
              <w:rPr>
                <w:rFonts w:ascii="Arial" w:hAnsi="Arial" w:cs="Arial"/>
                <w:b/>
                <w:bCs/>
                <w:color w:val="006198"/>
                <w:sz w:val="20"/>
                <w:szCs w:val="20"/>
                <w:lang w:val="en-GB"/>
              </w:rPr>
              <w:t>Enrolments</w:t>
            </w:r>
          </w:p>
        </w:tc>
        <w:tc>
          <w:tcPr>
            <w:tcW w:w="1275" w:type="dxa"/>
            <w:tcBorders>
              <w:top w:val="single" w:sz="6" w:space="0" w:color="auto"/>
              <w:left w:val="single" w:sz="4" w:space="0" w:color="58585B"/>
              <w:bottom w:val="single" w:sz="6" w:space="0" w:color="006198"/>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color w:val="58585B"/>
                <w:sz w:val="20"/>
                <w:szCs w:val="20"/>
                <w:lang w:val="en-GB"/>
              </w:rPr>
            </w:pPr>
            <w:r w:rsidRPr="00271B0D">
              <w:rPr>
                <w:rFonts w:ascii="Arial" w:hAnsi="Arial" w:cs="Arial"/>
                <w:b/>
                <w:bCs/>
                <w:color w:val="006198"/>
                <w:sz w:val="20"/>
                <w:szCs w:val="20"/>
                <w:lang w:val="en-GB"/>
              </w:rPr>
              <w:t xml:space="preserve">Roll Divergence </w:t>
            </w:r>
          </w:p>
        </w:tc>
        <w:tc>
          <w:tcPr>
            <w:tcW w:w="1417" w:type="dxa"/>
            <w:tcBorders>
              <w:top w:val="single" w:sz="6" w:space="0" w:color="auto"/>
              <w:left w:val="single" w:sz="4" w:space="0" w:color="58585B"/>
              <w:bottom w:val="single" w:sz="6" w:space="0" w:color="006198"/>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color w:val="58585B"/>
                <w:sz w:val="20"/>
                <w:szCs w:val="20"/>
                <w:lang w:val="en-GB"/>
              </w:rPr>
            </w:pPr>
            <w:r w:rsidRPr="00271B0D">
              <w:rPr>
                <w:rFonts w:ascii="Arial" w:hAnsi="Arial" w:cs="Arial"/>
                <w:b/>
                <w:bCs/>
                <w:color w:val="006198"/>
                <w:sz w:val="20"/>
                <w:szCs w:val="20"/>
                <w:lang w:val="en-GB"/>
              </w:rPr>
              <w:t>WAEC State Enrolments</w:t>
            </w:r>
          </w:p>
        </w:tc>
        <w:tc>
          <w:tcPr>
            <w:tcW w:w="2210" w:type="dxa"/>
            <w:tcBorders>
              <w:top w:val="single" w:sz="6" w:space="0" w:color="auto"/>
              <w:left w:val="single" w:sz="4" w:space="0" w:color="58585B"/>
              <w:bottom w:val="single" w:sz="6" w:space="0" w:color="006198"/>
              <w:right w:val="single" w:sz="6"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color w:val="58585B"/>
                <w:sz w:val="20"/>
                <w:szCs w:val="20"/>
                <w:lang w:val="en-GB"/>
              </w:rPr>
            </w:pPr>
            <w:r w:rsidRPr="00271B0D">
              <w:rPr>
                <w:rFonts w:ascii="Arial" w:hAnsi="Arial" w:cs="Arial"/>
                <w:b/>
                <w:bCs/>
                <w:color w:val="006198"/>
                <w:sz w:val="20"/>
                <w:szCs w:val="20"/>
                <w:lang w:val="en-GB"/>
              </w:rPr>
              <w:t>Eligible Australians WA (AEC)</w:t>
            </w:r>
          </w:p>
        </w:tc>
      </w:tr>
      <w:tr w:rsidR="00090DBE" w:rsidRPr="00FA69B7" w:rsidTr="00271B0D">
        <w:trPr>
          <w:trHeight w:val="298"/>
        </w:trPr>
        <w:tc>
          <w:tcPr>
            <w:tcW w:w="1560" w:type="dxa"/>
            <w:tcBorders>
              <w:top w:val="single" w:sz="6" w:space="0" w:color="006198"/>
              <w:left w:val="single" w:sz="6" w:space="0" w:color="auto"/>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color w:val="58585B"/>
                <w:sz w:val="20"/>
                <w:szCs w:val="20"/>
                <w:lang w:val="en-GB"/>
              </w:rPr>
            </w:pPr>
            <w:r w:rsidRPr="00271B0D">
              <w:rPr>
                <w:rFonts w:ascii="Arial" w:hAnsi="Arial" w:cs="Arial"/>
                <w:b/>
                <w:bCs/>
                <w:color w:val="006198"/>
                <w:sz w:val="20"/>
                <w:szCs w:val="20"/>
                <w:lang w:val="en-GB"/>
              </w:rPr>
              <w:t>30 June 2013</w:t>
            </w:r>
          </w:p>
        </w:tc>
        <w:tc>
          <w:tcPr>
            <w:tcW w:w="1559" w:type="dxa"/>
            <w:tcBorders>
              <w:top w:val="single" w:sz="6" w:space="0" w:color="006198"/>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1,437,574</w:t>
            </w:r>
          </w:p>
        </w:tc>
        <w:tc>
          <w:tcPr>
            <w:tcW w:w="1275" w:type="dxa"/>
            <w:tcBorders>
              <w:top w:val="single" w:sz="6" w:space="0" w:color="006198"/>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25,700</w:t>
            </w:r>
          </w:p>
        </w:tc>
        <w:tc>
          <w:tcPr>
            <w:tcW w:w="1417" w:type="dxa"/>
            <w:tcBorders>
              <w:top w:val="single" w:sz="6" w:space="0" w:color="006198"/>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1,435,156</w:t>
            </w:r>
          </w:p>
        </w:tc>
        <w:tc>
          <w:tcPr>
            <w:tcW w:w="2210" w:type="dxa"/>
            <w:tcBorders>
              <w:top w:val="single" w:sz="6" w:space="0" w:color="006198"/>
              <w:left w:val="single" w:sz="4" w:space="0" w:color="58585B"/>
              <w:bottom w:val="single" w:sz="2" w:space="0" w:color="000000"/>
              <w:right w:val="single" w:sz="6" w:space="0" w:color="000000"/>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1,607,920</w:t>
            </w:r>
          </w:p>
        </w:tc>
      </w:tr>
      <w:tr w:rsidR="00090DBE" w:rsidRPr="00FA69B7" w:rsidTr="00271B0D">
        <w:trPr>
          <w:trHeight w:val="60"/>
        </w:trPr>
        <w:tc>
          <w:tcPr>
            <w:tcW w:w="1560" w:type="dxa"/>
            <w:tcBorders>
              <w:top w:val="single" w:sz="2" w:space="0" w:color="000000"/>
              <w:left w:val="single" w:sz="6" w:space="0" w:color="auto"/>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color w:val="58585B"/>
                <w:sz w:val="20"/>
                <w:szCs w:val="20"/>
                <w:lang w:val="en-GB"/>
              </w:rPr>
            </w:pPr>
            <w:r w:rsidRPr="00271B0D">
              <w:rPr>
                <w:rFonts w:ascii="Arial" w:hAnsi="Arial" w:cs="Arial"/>
                <w:b/>
                <w:bCs/>
                <w:color w:val="006198"/>
                <w:sz w:val="20"/>
                <w:szCs w:val="20"/>
                <w:lang w:val="en-GB"/>
              </w:rPr>
              <w:t>30 June 2014</w:t>
            </w:r>
          </w:p>
        </w:tc>
        <w:tc>
          <w:tcPr>
            <w:tcW w:w="1559" w:type="dxa"/>
            <w:tcBorders>
              <w:top w:val="single" w:sz="2" w:space="0" w:color="000000"/>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1,487,402</w:t>
            </w:r>
          </w:p>
        </w:tc>
        <w:tc>
          <w:tcPr>
            <w:tcW w:w="1275" w:type="dxa"/>
            <w:tcBorders>
              <w:top w:val="single" w:sz="2" w:space="0" w:color="000000"/>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58,969</w:t>
            </w:r>
          </w:p>
        </w:tc>
        <w:tc>
          <w:tcPr>
            <w:tcW w:w="1417" w:type="dxa"/>
            <w:tcBorders>
              <w:top w:val="single" w:sz="2" w:space="0" w:color="000000"/>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1,470,082</w:t>
            </w:r>
          </w:p>
        </w:tc>
        <w:tc>
          <w:tcPr>
            <w:tcW w:w="2210" w:type="dxa"/>
            <w:tcBorders>
              <w:top w:val="single" w:sz="2" w:space="0" w:color="000000"/>
              <w:left w:val="single" w:sz="4" w:space="0" w:color="58585B"/>
              <w:bottom w:val="single" w:sz="2" w:space="0" w:color="000000"/>
              <w:right w:val="single" w:sz="6" w:space="0" w:color="000000"/>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1,660,244</w:t>
            </w:r>
          </w:p>
        </w:tc>
      </w:tr>
      <w:tr w:rsidR="00090DBE" w:rsidRPr="00FA69B7" w:rsidTr="00271B0D">
        <w:trPr>
          <w:trHeight w:val="60"/>
        </w:trPr>
        <w:tc>
          <w:tcPr>
            <w:tcW w:w="1560" w:type="dxa"/>
            <w:tcBorders>
              <w:top w:val="single" w:sz="2" w:space="0" w:color="000000"/>
              <w:left w:val="single" w:sz="6" w:space="0" w:color="auto"/>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090DBE" w:rsidP="00090DBE">
            <w:pPr>
              <w:suppressAutoHyphens/>
              <w:autoSpaceDE w:val="0"/>
              <w:autoSpaceDN w:val="0"/>
              <w:adjustRightInd w:val="0"/>
              <w:spacing w:after="0" w:line="240" w:lineRule="auto"/>
              <w:jc w:val="center"/>
              <w:textAlignment w:val="center"/>
              <w:rPr>
                <w:rFonts w:ascii="Arial" w:hAnsi="Arial" w:cs="Arial"/>
                <w:color w:val="58585B"/>
                <w:sz w:val="20"/>
                <w:szCs w:val="20"/>
                <w:lang w:val="en-GB"/>
              </w:rPr>
            </w:pPr>
            <w:r w:rsidRPr="00271B0D">
              <w:rPr>
                <w:rFonts w:ascii="Arial" w:hAnsi="Arial" w:cs="Arial"/>
                <w:b/>
                <w:bCs/>
                <w:color w:val="006198"/>
                <w:sz w:val="20"/>
                <w:szCs w:val="20"/>
                <w:lang w:val="en-GB"/>
              </w:rPr>
              <w:t xml:space="preserve">30 September </w:t>
            </w:r>
            <w:r w:rsidR="00FA69B7" w:rsidRPr="00271B0D">
              <w:rPr>
                <w:rFonts w:ascii="Arial" w:hAnsi="Arial" w:cs="Arial"/>
                <w:b/>
                <w:bCs/>
                <w:color w:val="006198"/>
                <w:sz w:val="20"/>
                <w:szCs w:val="20"/>
                <w:lang w:val="en-GB"/>
              </w:rPr>
              <w:t>2014</w:t>
            </w:r>
          </w:p>
        </w:tc>
        <w:tc>
          <w:tcPr>
            <w:tcW w:w="1559" w:type="dxa"/>
            <w:tcBorders>
              <w:top w:val="single" w:sz="2" w:space="0" w:color="000000"/>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1,495,539</w:t>
            </w:r>
          </w:p>
        </w:tc>
        <w:tc>
          <w:tcPr>
            <w:tcW w:w="1275" w:type="dxa"/>
            <w:tcBorders>
              <w:top w:val="single" w:sz="2" w:space="0" w:color="000000"/>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81,389</w:t>
            </w:r>
          </w:p>
        </w:tc>
        <w:tc>
          <w:tcPr>
            <w:tcW w:w="1417" w:type="dxa"/>
            <w:tcBorders>
              <w:top w:val="single" w:sz="2" w:space="0" w:color="000000"/>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1,470,830</w:t>
            </w:r>
          </w:p>
        </w:tc>
        <w:tc>
          <w:tcPr>
            <w:tcW w:w="2210" w:type="dxa"/>
            <w:tcBorders>
              <w:top w:val="single" w:sz="2" w:space="0" w:color="000000"/>
              <w:left w:val="single" w:sz="4" w:space="0" w:color="58585B"/>
              <w:bottom w:val="single" w:sz="2" w:space="0" w:color="000000"/>
              <w:right w:val="single" w:sz="6" w:space="0" w:color="000000"/>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1,665,562</w:t>
            </w:r>
          </w:p>
        </w:tc>
      </w:tr>
      <w:tr w:rsidR="00090DBE" w:rsidRPr="00FA69B7" w:rsidTr="00271B0D">
        <w:trPr>
          <w:trHeight w:val="60"/>
        </w:trPr>
        <w:tc>
          <w:tcPr>
            <w:tcW w:w="1560" w:type="dxa"/>
            <w:tcBorders>
              <w:top w:val="single" w:sz="2" w:space="0" w:color="000000"/>
              <w:left w:val="single" w:sz="6" w:space="0" w:color="auto"/>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color w:val="58585B"/>
                <w:sz w:val="20"/>
                <w:szCs w:val="20"/>
                <w:lang w:val="en-GB"/>
              </w:rPr>
            </w:pPr>
            <w:r w:rsidRPr="00271B0D">
              <w:rPr>
                <w:rFonts w:ascii="Arial" w:hAnsi="Arial" w:cs="Arial"/>
                <w:b/>
                <w:bCs/>
                <w:color w:val="006198"/>
                <w:sz w:val="20"/>
                <w:szCs w:val="20"/>
                <w:lang w:val="en-GB"/>
              </w:rPr>
              <w:t>31 December 2014</w:t>
            </w:r>
          </w:p>
        </w:tc>
        <w:tc>
          <w:tcPr>
            <w:tcW w:w="1559" w:type="dxa"/>
            <w:tcBorders>
              <w:top w:val="single" w:sz="2" w:space="0" w:color="000000"/>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1,501,048</w:t>
            </w:r>
          </w:p>
        </w:tc>
        <w:tc>
          <w:tcPr>
            <w:tcW w:w="1275" w:type="dxa"/>
            <w:tcBorders>
              <w:top w:val="single" w:sz="2" w:space="0" w:color="000000"/>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96,029</w:t>
            </w:r>
          </w:p>
        </w:tc>
        <w:tc>
          <w:tcPr>
            <w:tcW w:w="1417" w:type="dxa"/>
            <w:tcBorders>
              <w:top w:val="single" w:sz="2" w:space="0" w:color="000000"/>
              <w:left w:val="single" w:sz="4" w:space="0" w:color="58585B"/>
              <w:bottom w:val="single" w:sz="2" w:space="0" w:color="000000"/>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1,468,610</w:t>
            </w:r>
          </w:p>
        </w:tc>
        <w:tc>
          <w:tcPr>
            <w:tcW w:w="2210" w:type="dxa"/>
            <w:tcBorders>
              <w:top w:val="single" w:sz="2" w:space="0" w:color="000000"/>
              <w:left w:val="single" w:sz="4" w:space="0" w:color="58585B"/>
              <w:bottom w:val="single" w:sz="2" w:space="0" w:color="000000"/>
              <w:right w:val="single" w:sz="6" w:space="0" w:color="000000"/>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1,678,552</w:t>
            </w:r>
          </w:p>
        </w:tc>
      </w:tr>
      <w:tr w:rsidR="00090DBE" w:rsidRPr="00FA69B7" w:rsidTr="00271B0D">
        <w:trPr>
          <w:trHeight w:val="307"/>
        </w:trPr>
        <w:tc>
          <w:tcPr>
            <w:tcW w:w="1560" w:type="dxa"/>
            <w:tcBorders>
              <w:top w:val="single" w:sz="2" w:space="0" w:color="000000"/>
              <w:left w:val="single" w:sz="6" w:space="0" w:color="auto"/>
              <w:bottom w:val="single" w:sz="6" w:space="0" w:color="auto"/>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color w:val="58585B"/>
                <w:sz w:val="20"/>
                <w:szCs w:val="20"/>
                <w:lang w:val="en-GB"/>
              </w:rPr>
            </w:pPr>
            <w:r w:rsidRPr="00271B0D">
              <w:rPr>
                <w:rFonts w:ascii="Arial" w:hAnsi="Arial" w:cs="Arial"/>
                <w:b/>
                <w:bCs/>
                <w:color w:val="006198"/>
                <w:sz w:val="20"/>
                <w:szCs w:val="20"/>
                <w:lang w:val="en-GB"/>
              </w:rPr>
              <w:t>31 March 2015</w:t>
            </w:r>
          </w:p>
        </w:tc>
        <w:tc>
          <w:tcPr>
            <w:tcW w:w="1559" w:type="dxa"/>
            <w:tcBorders>
              <w:top w:val="single" w:sz="2" w:space="0" w:color="000000"/>
              <w:left w:val="single" w:sz="4" w:space="0" w:color="58585B"/>
              <w:bottom w:val="single" w:sz="6" w:space="0" w:color="auto"/>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1,513,263</w:t>
            </w:r>
          </w:p>
        </w:tc>
        <w:tc>
          <w:tcPr>
            <w:tcW w:w="1275" w:type="dxa"/>
            <w:tcBorders>
              <w:top w:val="single" w:sz="2" w:space="0" w:color="000000"/>
              <w:left w:val="single" w:sz="4" w:space="0" w:color="58585B"/>
              <w:bottom w:val="single" w:sz="6" w:space="0" w:color="auto"/>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114,796</w:t>
            </w:r>
          </w:p>
        </w:tc>
        <w:tc>
          <w:tcPr>
            <w:tcW w:w="1417" w:type="dxa"/>
            <w:tcBorders>
              <w:top w:val="single" w:sz="2" w:space="0" w:color="000000"/>
              <w:left w:val="single" w:sz="4" w:space="0" w:color="58585B"/>
              <w:bottom w:val="single" w:sz="6" w:space="0" w:color="auto"/>
              <w:right w:val="single" w:sz="4" w:space="0" w:color="58585B"/>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1,473,429</w:t>
            </w:r>
          </w:p>
        </w:tc>
        <w:tc>
          <w:tcPr>
            <w:tcW w:w="2210" w:type="dxa"/>
            <w:tcBorders>
              <w:top w:val="single" w:sz="2" w:space="0" w:color="000000"/>
              <w:left w:val="single" w:sz="4" w:space="0" w:color="58585B"/>
              <w:bottom w:val="single" w:sz="6" w:space="0" w:color="auto"/>
              <w:right w:val="single" w:sz="6" w:space="0" w:color="000000"/>
            </w:tcBorders>
            <w:shd w:val="clear" w:color="auto" w:fill="FFFFFF" w:themeFill="background1"/>
            <w:tcMar>
              <w:top w:w="80" w:type="dxa"/>
              <w:left w:w="80" w:type="dxa"/>
              <w:bottom w:w="80" w:type="dxa"/>
              <w:right w:w="80" w:type="dxa"/>
            </w:tcMar>
            <w:vAlign w:val="center"/>
          </w:tcPr>
          <w:p w:rsidR="00FA69B7" w:rsidRPr="00271B0D" w:rsidRDefault="00FA69B7" w:rsidP="00090DBE">
            <w:pPr>
              <w:suppressAutoHyphens/>
              <w:autoSpaceDE w:val="0"/>
              <w:autoSpaceDN w:val="0"/>
              <w:adjustRightInd w:val="0"/>
              <w:spacing w:after="0" w:line="240" w:lineRule="auto"/>
              <w:jc w:val="center"/>
              <w:textAlignment w:val="center"/>
              <w:rPr>
                <w:rFonts w:ascii="Arial" w:hAnsi="Arial" w:cs="Arial"/>
                <w:sz w:val="20"/>
                <w:szCs w:val="20"/>
                <w:lang w:val="en-GB"/>
              </w:rPr>
            </w:pPr>
            <w:r w:rsidRPr="00271B0D">
              <w:rPr>
                <w:rFonts w:ascii="Arial" w:hAnsi="Arial" w:cs="Arial"/>
                <w:sz w:val="20"/>
                <w:szCs w:val="20"/>
                <w:lang w:val="en-GB"/>
              </w:rPr>
              <w:t>1,688,726</w:t>
            </w:r>
          </w:p>
        </w:tc>
      </w:tr>
    </w:tbl>
    <w:p w:rsidR="00090DBE" w:rsidRDefault="00090DBE" w:rsidP="00FA69B7">
      <w:pPr>
        <w:pStyle w:val="BodyCopy"/>
        <w:rPr>
          <w:sz w:val="24"/>
          <w:szCs w:val="24"/>
        </w:rPr>
      </w:pPr>
    </w:p>
    <w:p w:rsidR="00FA69B7" w:rsidRPr="00050291" w:rsidRDefault="00FA69B7" w:rsidP="00050291">
      <w:pPr>
        <w:pStyle w:val="BodyCopy"/>
        <w:rPr>
          <w:sz w:val="24"/>
          <w:szCs w:val="24"/>
        </w:rPr>
        <w:sectPr w:rsidR="00FA69B7" w:rsidRPr="00050291" w:rsidSect="00271B0D">
          <w:type w:val="continuous"/>
          <w:pgSz w:w="11906" w:h="16838"/>
          <w:pgMar w:top="720" w:right="720" w:bottom="720" w:left="720" w:header="720" w:footer="720" w:gutter="0"/>
          <w:cols w:space="720"/>
          <w:noEndnote/>
        </w:sectPr>
      </w:pPr>
      <w:r>
        <w:rPr>
          <w:sz w:val="24"/>
          <w:szCs w:val="24"/>
        </w:rPr>
        <w:br w:type="page"/>
      </w:r>
    </w:p>
    <w:p w:rsidR="00FA69B7" w:rsidRPr="00050291" w:rsidRDefault="00FA69B7" w:rsidP="00F73CE3">
      <w:pPr>
        <w:pStyle w:val="Heading1largeAR"/>
      </w:pPr>
      <w:r w:rsidRPr="00050291">
        <w:lastRenderedPageBreak/>
        <w:t>Agency Performance</w:t>
      </w:r>
    </w:p>
    <w:p w:rsidR="00FA69B7" w:rsidRPr="00050291" w:rsidRDefault="00FA69B7" w:rsidP="00F73CE3">
      <w:pPr>
        <w:pStyle w:val="Heading2AR"/>
      </w:pPr>
      <w:r w:rsidRPr="00050291">
        <w:t>Performance Management Framework</w:t>
      </w:r>
    </w:p>
    <w:p w:rsidR="00FA69B7" w:rsidRDefault="00FA69B7" w:rsidP="00FA69B7">
      <w:pPr>
        <w:pStyle w:val="BC"/>
        <w:sectPr w:rsidR="00FA69B7" w:rsidSect="00DE5DA3">
          <w:type w:val="continuous"/>
          <w:pgSz w:w="11906" w:h="16838"/>
          <w:pgMar w:top="720" w:right="720" w:bottom="720" w:left="720" w:header="720" w:footer="720" w:gutter="0"/>
          <w:cols w:space="720"/>
          <w:noEndnote/>
        </w:sectPr>
      </w:pPr>
    </w:p>
    <w:p w:rsidR="00FA69B7" w:rsidRPr="00050291" w:rsidRDefault="00FA69B7" w:rsidP="00FA69B7">
      <w:pPr>
        <w:pStyle w:val="BC"/>
        <w:rPr>
          <w:color w:val="auto"/>
          <w:sz w:val="20"/>
          <w:szCs w:val="20"/>
        </w:rPr>
      </w:pPr>
      <w:r w:rsidRPr="00050291">
        <w:rPr>
          <w:color w:val="auto"/>
          <w:sz w:val="20"/>
          <w:szCs w:val="20"/>
        </w:rPr>
        <w:lastRenderedPageBreak/>
        <w:t xml:space="preserve">The Commission delivers services and outputs to help </w:t>
      </w:r>
      <w:r w:rsidRPr="00050291">
        <w:rPr>
          <w:color w:val="auto"/>
          <w:sz w:val="20"/>
          <w:szCs w:val="20"/>
        </w:rPr>
        <w:br/>
        <w:t>achieve the following state outcomes:</w:t>
      </w:r>
    </w:p>
    <w:p w:rsidR="00FA69B7" w:rsidRPr="00050291" w:rsidRDefault="00FA69B7" w:rsidP="00FA69B7">
      <w:pPr>
        <w:pStyle w:val="DotPoint"/>
        <w:numPr>
          <w:ilvl w:val="0"/>
          <w:numId w:val="2"/>
        </w:numPr>
        <w:rPr>
          <w:color w:val="auto"/>
          <w:sz w:val="20"/>
          <w:szCs w:val="20"/>
        </w:rPr>
      </w:pPr>
      <w:r w:rsidRPr="00050291">
        <w:rPr>
          <w:color w:val="auto"/>
          <w:sz w:val="20"/>
          <w:szCs w:val="20"/>
        </w:rPr>
        <w:t>State Building – Major Projects</w:t>
      </w:r>
    </w:p>
    <w:p w:rsidR="00FA69B7" w:rsidRPr="00050291" w:rsidRDefault="00FA69B7" w:rsidP="00FA69B7">
      <w:pPr>
        <w:pStyle w:val="DotPoint"/>
        <w:numPr>
          <w:ilvl w:val="0"/>
          <w:numId w:val="2"/>
        </w:numPr>
        <w:rPr>
          <w:color w:val="auto"/>
          <w:sz w:val="20"/>
          <w:szCs w:val="20"/>
        </w:rPr>
      </w:pPr>
      <w:r w:rsidRPr="00050291">
        <w:rPr>
          <w:color w:val="auto"/>
          <w:sz w:val="20"/>
          <w:szCs w:val="20"/>
        </w:rPr>
        <w:t>Financial and Economic Responsibility</w:t>
      </w:r>
    </w:p>
    <w:p w:rsidR="00FA69B7" w:rsidRPr="00050291" w:rsidRDefault="00FA69B7" w:rsidP="00FA69B7">
      <w:pPr>
        <w:pStyle w:val="DotPoint"/>
        <w:numPr>
          <w:ilvl w:val="0"/>
          <w:numId w:val="2"/>
        </w:numPr>
        <w:rPr>
          <w:color w:val="auto"/>
          <w:sz w:val="20"/>
          <w:szCs w:val="20"/>
        </w:rPr>
      </w:pPr>
      <w:r w:rsidRPr="00050291">
        <w:rPr>
          <w:color w:val="auto"/>
          <w:sz w:val="20"/>
          <w:szCs w:val="20"/>
        </w:rPr>
        <w:t>Results Based Service Delivery</w:t>
      </w:r>
    </w:p>
    <w:p w:rsidR="00FA69B7" w:rsidRPr="00050291" w:rsidRDefault="00FA69B7" w:rsidP="00FA69B7">
      <w:pPr>
        <w:pStyle w:val="DotPoint"/>
        <w:numPr>
          <w:ilvl w:val="0"/>
          <w:numId w:val="2"/>
        </w:numPr>
        <w:rPr>
          <w:color w:val="auto"/>
          <w:sz w:val="20"/>
          <w:szCs w:val="20"/>
        </w:rPr>
      </w:pPr>
      <w:r w:rsidRPr="00050291">
        <w:rPr>
          <w:color w:val="auto"/>
          <w:sz w:val="20"/>
          <w:szCs w:val="20"/>
        </w:rPr>
        <w:t>Stronger Focus on the Regions</w:t>
      </w:r>
    </w:p>
    <w:p w:rsidR="00FA69B7" w:rsidRPr="00050291" w:rsidRDefault="00FA69B7" w:rsidP="00FA69B7">
      <w:pPr>
        <w:pStyle w:val="DotPoint"/>
        <w:numPr>
          <w:ilvl w:val="0"/>
          <w:numId w:val="2"/>
        </w:numPr>
        <w:rPr>
          <w:color w:val="auto"/>
          <w:sz w:val="20"/>
          <w:szCs w:val="20"/>
        </w:rPr>
      </w:pPr>
      <w:r w:rsidRPr="00050291">
        <w:rPr>
          <w:color w:val="auto"/>
          <w:sz w:val="20"/>
          <w:szCs w:val="20"/>
        </w:rPr>
        <w:t>Social and Environmental Responsibility.</w:t>
      </w:r>
    </w:p>
    <w:p w:rsidR="00FA69B7" w:rsidRPr="00050291" w:rsidRDefault="00FA69B7" w:rsidP="00FA69B7">
      <w:pPr>
        <w:pStyle w:val="BC"/>
        <w:rPr>
          <w:color w:val="auto"/>
          <w:sz w:val="20"/>
          <w:szCs w:val="20"/>
        </w:rPr>
      </w:pPr>
      <w:r w:rsidRPr="00050291">
        <w:rPr>
          <w:color w:val="auto"/>
          <w:sz w:val="20"/>
          <w:szCs w:val="20"/>
        </w:rPr>
        <w:t xml:space="preserve">The Commission’s outcome, outputs and services, as described in this report, are particularly reflective of the third of these goals given our focus on the delivery of efficient and effective services to a wide spectrum of Western Australians. Further, the Commission’s programs and services targeting remote and regional customers are very supportive of the fourth goal – Stronger Focus on the Regions. Effective electoral services and education contribute to good governance and help to enhance community participation throughout Western Australia. </w:t>
      </w:r>
    </w:p>
    <w:p w:rsidR="00FA69B7" w:rsidRPr="00050291" w:rsidRDefault="00FA69B7" w:rsidP="00672A12">
      <w:pPr>
        <w:pStyle w:val="Heading4AR"/>
      </w:pPr>
      <w:r w:rsidRPr="00050291">
        <w:t>Desired Outcome</w:t>
      </w:r>
    </w:p>
    <w:p w:rsidR="00FA69B7" w:rsidRPr="0041683D" w:rsidRDefault="00FA69B7" w:rsidP="00FA69B7">
      <w:pPr>
        <w:pStyle w:val="BC"/>
        <w:rPr>
          <w:color w:val="auto"/>
          <w:sz w:val="20"/>
          <w:szCs w:val="20"/>
        </w:rPr>
      </w:pPr>
      <w:r w:rsidRPr="0041683D">
        <w:rPr>
          <w:color w:val="auto"/>
          <w:sz w:val="20"/>
          <w:szCs w:val="20"/>
        </w:rPr>
        <w:t>Western Australian electors participate in independent and impartial elections or referenda conducted by the Commission as part of democratic processes.</w:t>
      </w:r>
    </w:p>
    <w:p w:rsidR="00FA69B7" w:rsidRPr="00050291" w:rsidRDefault="00FA69B7" w:rsidP="00672A12">
      <w:pPr>
        <w:pStyle w:val="Heading4AR"/>
      </w:pPr>
      <w:r w:rsidRPr="00050291">
        <w:t xml:space="preserve">Service </w:t>
      </w:r>
    </w:p>
    <w:p w:rsidR="00FA69B7" w:rsidRPr="0041683D" w:rsidRDefault="00FA69B7" w:rsidP="00FA69B7">
      <w:pPr>
        <w:pStyle w:val="BC"/>
        <w:rPr>
          <w:color w:val="auto"/>
          <w:sz w:val="20"/>
          <w:szCs w:val="20"/>
        </w:rPr>
      </w:pPr>
      <w:proofErr w:type="gramStart"/>
      <w:r w:rsidRPr="0041683D">
        <w:rPr>
          <w:color w:val="auto"/>
          <w:sz w:val="20"/>
          <w:szCs w:val="20"/>
        </w:rPr>
        <w:t>Provision of independent, impartial and efficient electoral services to electors for Parliament and other electoral clients.</w:t>
      </w:r>
      <w:proofErr w:type="gramEnd"/>
    </w:p>
    <w:p w:rsidR="00FA69B7" w:rsidRDefault="00FA69B7" w:rsidP="00FA69B7">
      <w:pPr>
        <w:pStyle w:val="BodyCopy"/>
        <w:rPr>
          <w:sz w:val="24"/>
          <w:szCs w:val="24"/>
        </w:rPr>
        <w:sectPr w:rsidR="00FA69B7" w:rsidSect="00B149BC">
          <w:type w:val="continuous"/>
          <w:pgSz w:w="11906" w:h="16838"/>
          <w:pgMar w:top="720" w:right="720" w:bottom="720" w:left="720" w:header="720" w:footer="720" w:gutter="0"/>
          <w:cols w:space="720"/>
          <w:noEndnote/>
        </w:sectPr>
      </w:pPr>
    </w:p>
    <w:p w:rsidR="00B149BC" w:rsidRDefault="00B149BC" w:rsidP="0041683D">
      <w:pPr>
        <w:pStyle w:val="Heading"/>
        <w:rPr>
          <w:rFonts w:ascii="Arial" w:hAnsi="Arial" w:cs="Arial"/>
        </w:rPr>
      </w:pPr>
    </w:p>
    <w:p w:rsidR="00672A12" w:rsidRPr="00672A12" w:rsidRDefault="00FA69B7" w:rsidP="00672A12">
      <w:pPr>
        <w:pStyle w:val="Heading"/>
        <w:rPr>
          <w:rStyle w:val="A16"/>
        </w:rPr>
      </w:pPr>
      <w:r w:rsidRPr="00672A12">
        <w:rPr>
          <w:rStyle w:val="Heading2ARChar"/>
          <w:caps/>
        </w:rPr>
        <w:t>The Commission’s core business</w:t>
      </w:r>
      <w:proofErr w:type="gramStart"/>
      <w:r w:rsidRPr="00672A12">
        <w:rPr>
          <w:rStyle w:val="Heading2ARChar"/>
        </w:rPr>
        <w:t>:</w:t>
      </w:r>
      <w:proofErr w:type="gramEnd"/>
      <w:r w:rsidRPr="00050291">
        <w:rPr>
          <w:rFonts w:ascii="Arial" w:hAnsi="Arial" w:cs="Arial"/>
        </w:rPr>
        <w:br/>
      </w:r>
      <w:r w:rsidRPr="00672A12">
        <w:rPr>
          <w:rStyle w:val="A16"/>
        </w:rPr>
        <w:t>three major components</w:t>
      </w:r>
    </w:p>
    <w:p w:rsidR="004C6811" w:rsidRPr="004C6811" w:rsidRDefault="00FA69B7" w:rsidP="004C6811">
      <w:pPr>
        <w:pStyle w:val="Heading2AR"/>
        <w:rPr>
          <w:rStyle w:val="Heading2ARChar"/>
        </w:rPr>
      </w:pPr>
      <w:r w:rsidRPr="004C6811">
        <w:rPr>
          <w:rStyle w:val="Heading2ARChar"/>
        </w:rPr>
        <w:t>Output 1:</w:t>
      </w:r>
    </w:p>
    <w:p w:rsidR="00FA69B7" w:rsidRPr="004C6811" w:rsidRDefault="00FA69B7" w:rsidP="004C6811">
      <w:pPr>
        <w:pStyle w:val="Pa1"/>
        <w:spacing w:after="240"/>
        <w:rPr>
          <w:rStyle w:val="Heading2ARblackChar"/>
        </w:rPr>
      </w:pPr>
      <w:r w:rsidRPr="004C6811">
        <w:rPr>
          <w:rStyle w:val="Heading2ARblackChar"/>
        </w:rPr>
        <w:t>Election Management</w:t>
      </w:r>
    </w:p>
    <w:p w:rsidR="00FA69B7" w:rsidRPr="0041683D" w:rsidRDefault="00FA69B7" w:rsidP="00FA69B7">
      <w:pPr>
        <w:pStyle w:val="BC"/>
        <w:rPr>
          <w:color w:val="auto"/>
          <w:sz w:val="20"/>
          <w:szCs w:val="20"/>
        </w:rPr>
      </w:pPr>
      <w:r w:rsidRPr="00E879A2">
        <w:rPr>
          <w:b/>
          <w:bCs/>
          <w:sz w:val="20"/>
          <w:szCs w:val="20"/>
        </w:rPr>
        <w:t>Objective</w:t>
      </w:r>
      <w:r w:rsidRPr="00E879A2">
        <w:rPr>
          <w:sz w:val="20"/>
          <w:szCs w:val="20"/>
        </w:rPr>
        <w:br/>
      </w:r>
      <w:proofErr w:type="gramStart"/>
      <w:r w:rsidRPr="0041683D">
        <w:rPr>
          <w:color w:val="auto"/>
          <w:sz w:val="20"/>
          <w:szCs w:val="20"/>
        </w:rPr>
        <w:t>To</w:t>
      </w:r>
      <w:proofErr w:type="gramEnd"/>
      <w:r w:rsidRPr="0041683D">
        <w:rPr>
          <w:color w:val="auto"/>
          <w:sz w:val="20"/>
          <w:szCs w:val="20"/>
        </w:rPr>
        <w:t xml:space="preserve"> efficiently and effectively conduct elections and polls in compliance with applicable legislation, </w:t>
      </w:r>
      <w:r w:rsidRPr="0041683D">
        <w:rPr>
          <w:color w:val="auto"/>
          <w:sz w:val="20"/>
          <w:szCs w:val="20"/>
        </w:rPr>
        <w:br/>
        <w:t>regulations or rules.</w:t>
      </w:r>
    </w:p>
    <w:p w:rsidR="00FA69B7" w:rsidRPr="00E879A2" w:rsidRDefault="00FA69B7" w:rsidP="00FA69B7">
      <w:pPr>
        <w:pStyle w:val="BC"/>
        <w:spacing w:after="0"/>
        <w:rPr>
          <w:sz w:val="20"/>
          <w:szCs w:val="20"/>
        </w:rPr>
      </w:pPr>
      <w:r w:rsidRPr="00E879A2">
        <w:rPr>
          <w:b/>
          <w:bCs/>
          <w:sz w:val="20"/>
          <w:szCs w:val="20"/>
        </w:rPr>
        <w:t>Strategies</w:t>
      </w:r>
    </w:p>
    <w:p w:rsidR="00FA69B7" w:rsidRPr="0041683D" w:rsidRDefault="00FA69B7" w:rsidP="00E879A2">
      <w:pPr>
        <w:pStyle w:val="Tick"/>
        <w:numPr>
          <w:ilvl w:val="0"/>
          <w:numId w:val="3"/>
        </w:numPr>
        <w:ind w:left="426" w:hanging="426"/>
        <w:rPr>
          <w:color w:val="auto"/>
          <w:sz w:val="20"/>
          <w:szCs w:val="20"/>
        </w:rPr>
      </w:pPr>
      <w:r w:rsidRPr="0041683D">
        <w:rPr>
          <w:color w:val="auto"/>
          <w:sz w:val="20"/>
          <w:szCs w:val="20"/>
        </w:rPr>
        <w:t>Apply effective project management practices to the conduct of all elections.</w:t>
      </w:r>
    </w:p>
    <w:p w:rsidR="00FA69B7" w:rsidRPr="0041683D" w:rsidRDefault="00FA69B7" w:rsidP="00E879A2">
      <w:pPr>
        <w:pStyle w:val="Tick"/>
        <w:numPr>
          <w:ilvl w:val="0"/>
          <w:numId w:val="3"/>
        </w:numPr>
        <w:ind w:left="426" w:hanging="426"/>
        <w:rPr>
          <w:color w:val="auto"/>
          <w:sz w:val="20"/>
          <w:szCs w:val="20"/>
        </w:rPr>
      </w:pPr>
      <w:r w:rsidRPr="0041683D">
        <w:rPr>
          <w:color w:val="auto"/>
          <w:sz w:val="20"/>
          <w:szCs w:val="20"/>
        </w:rPr>
        <w:t>Continually review and evaluate electoral legislation, regulations, rules, policies and practices.</w:t>
      </w:r>
    </w:p>
    <w:p w:rsidR="00FA69B7" w:rsidRPr="0041683D" w:rsidRDefault="00FA69B7" w:rsidP="00E879A2">
      <w:pPr>
        <w:pStyle w:val="Tick"/>
        <w:numPr>
          <w:ilvl w:val="0"/>
          <w:numId w:val="3"/>
        </w:numPr>
        <w:tabs>
          <w:tab w:val="clear" w:pos="283"/>
        </w:tabs>
        <w:ind w:left="284" w:hanging="284"/>
        <w:rPr>
          <w:color w:val="auto"/>
          <w:sz w:val="20"/>
          <w:szCs w:val="20"/>
        </w:rPr>
      </w:pPr>
      <w:r w:rsidRPr="0041683D">
        <w:rPr>
          <w:color w:val="auto"/>
          <w:sz w:val="20"/>
          <w:szCs w:val="20"/>
        </w:rPr>
        <w:t>Research and develop innovative systems and practices to deliver improved customer services and operational efficiencies.</w:t>
      </w:r>
    </w:p>
    <w:p w:rsidR="00FA69B7" w:rsidRPr="0041683D" w:rsidRDefault="00FA69B7" w:rsidP="00E879A2">
      <w:pPr>
        <w:pStyle w:val="BodyCopy"/>
        <w:numPr>
          <w:ilvl w:val="0"/>
          <w:numId w:val="3"/>
        </w:numPr>
        <w:ind w:left="284" w:hanging="284"/>
        <w:rPr>
          <w:color w:val="auto"/>
          <w:sz w:val="20"/>
          <w:szCs w:val="20"/>
        </w:rPr>
      </w:pPr>
      <w:r w:rsidRPr="0041683D">
        <w:rPr>
          <w:color w:val="auto"/>
          <w:sz w:val="20"/>
          <w:szCs w:val="20"/>
        </w:rPr>
        <w:t>Incorporate customer and stakeholder feedback in all election planning and review processes.</w:t>
      </w:r>
    </w:p>
    <w:p w:rsidR="00B149BC" w:rsidRDefault="00B149BC" w:rsidP="00E879A2">
      <w:pPr>
        <w:pStyle w:val="Pa1"/>
        <w:spacing w:before="40" w:after="100"/>
        <w:rPr>
          <w:color w:val="BB8C0A"/>
          <w:sz w:val="35"/>
          <w:szCs w:val="35"/>
        </w:rPr>
      </w:pPr>
    </w:p>
    <w:p w:rsidR="00B149BC" w:rsidRDefault="00B149BC" w:rsidP="00E879A2">
      <w:pPr>
        <w:pStyle w:val="Pa1"/>
        <w:spacing w:before="40" w:after="100"/>
        <w:rPr>
          <w:color w:val="BB8C0A"/>
          <w:sz w:val="35"/>
          <w:szCs w:val="35"/>
        </w:rPr>
      </w:pPr>
    </w:p>
    <w:p w:rsidR="00B149BC" w:rsidRDefault="00B149BC" w:rsidP="00E879A2">
      <w:pPr>
        <w:pStyle w:val="Pa1"/>
        <w:spacing w:before="40" w:after="100"/>
        <w:rPr>
          <w:color w:val="BB8C0A"/>
          <w:sz w:val="35"/>
          <w:szCs w:val="35"/>
        </w:rPr>
      </w:pPr>
    </w:p>
    <w:p w:rsidR="00271B0D" w:rsidRDefault="00271B0D" w:rsidP="00E879A2">
      <w:pPr>
        <w:pStyle w:val="Pa1"/>
        <w:spacing w:before="40" w:after="100"/>
        <w:rPr>
          <w:color w:val="BB8C0A"/>
          <w:sz w:val="35"/>
          <w:szCs w:val="35"/>
        </w:rPr>
      </w:pPr>
    </w:p>
    <w:p w:rsidR="00E879A2" w:rsidRPr="004C6811" w:rsidRDefault="00E879A2" w:rsidP="004C6811">
      <w:pPr>
        <w:pStyle w:val="Heading2ARtitlecase"/>
        <w:rPr>
          <w:rStyle w:val="A16"/>
          <w:color w:val="CC9900"/>
        </w:rPr>
      </w:pPr>
      <w:r w:rsidRPr="004C6811">
        <w:t xml:space="preserve">Output </w:t>
      </w:r>
      <w:r w:rsidRPr="004C6811">
        <w:rPr>
          <w:rStyle w:val="Heading1ARChar"/>
          <w:rFonts w:ascii="Arial" w:hAnsi="Arial" w:cs="Arial"/>
          <w:caps w:val="0"/>
          <w:color w:val="CC9900"/>
          <w:spacing w:val="0"/>
          <w:sz w:val="35"/>
          <w:szCs w:val="35"/>
        </w:rPr>
        <w:t>2:</w:t>
      </w:r>
      <w:r w:rsidRPr="004C6811">
        <w:rPr>
          <w:rStyle w:val="A16"/>
          <w:color w:val="CC9900"/>
        </w:rPr>
        <w:t xml:space="preserve"> </w:t>
      </w:r>
    </w:p>
    <w:p w:rsidR="00E879A2" w:rsidRPr="004C6811" w:rsidRDefault="00E879A2" w:rsidP="004C6811">
      <w:pPr>
        <w:pStyle w:val="Heading2ARblack"/>
      </w:pPr>
      <w:r w:rsidRPr="004C6811">
        <w:rPr>
          <w:rStyle w:val="A16"/>
          <w:color w:val="58585B"/>
          <w:sz w:val="42"/>
          <w:szCs w:val="42"/>
        </w:rPr>
        <w:t xml:space="preserve">Electoral Roll Management </w:t>
      </w:r>
    </w:p>
    <w:p w:rsidR="00E879A2" w:rsidRPr="0041683D" w:rsidRDefault="00E879A2" w:rsidP="00E879A2">
      <w:pPr>
        <w:pStyle w:val="Pa1"/>
        <w:spacing w:before="40" w:after="100"/>
        <w:rPr>
          <w:sz w:val="20"/>
          <w:szCs w:val="20"/>
        </w:rPr>
      </w:pPr>
      <w:r w:rsidRPr="0041683D">
        <w:rPr>
          <w:b/>
          <w:bCs/>
          <w:sz w:val="20"/>
          <w:szCs w:val="20"/>
        </w:rPr>
        <w:t xml:space="preserve">Objective </w:t>
      </w:r>
      <w:r w:rsidRPr="0041683D">
        <w:rPr>
          <w:sz w:val="20"/>
          <w:szCs w:val="20"/>
        </w:rPr>
        <w:t xml:space="preserve">To manage and maintain the integrity of the State electoral roll, improve enrolment participation, and provide quality roll products. </w:t>
      </w:r>
    </w:p>
    <w:p w:rsidR="00E879A2" w:rsidRPr="0041683D" w:rsidRDefault="00E879A2" w:rsidP="00E879A2">
      <w:pPr>
        <w:pStyle w:val="Default"/>
        <w:spacing w:before="40" w:line="191" w:lineRule="atLeast"/>
        <w:rPr>
          <w:color w:val="auto"/>
          <w:sz w:val="20"/>
          <w:szCs w:val="20"/>
        </w:rPr>
      </w:pPr>
      <w:r w:rsidRPr="0041683D">
        <w:rPr>
          <w:b/>
          <w:bCs/>
          <w:color w:val="auto"/>
          <w:sz w:val="20"/>
          <w:szCs w:val="20"/>
        </w:rPr>
        <w:t xml:space="preserve">Strategies </w:t>
      </w:r>
    </w:p>
    <w:p w:rsidR="00E879A2" w:rsidRPr="0041683D" w:rsidRDefault="00E879A2" w:rsidP="00E879A2">
      <w:pPr>
        <w:pStyle w:val="Pa9"/>
        <w:numPr>
          <w:ilvl w:val="0"/>
          <w:numId w:val="4"/>
        </w:numPr>
        <w:spacing w:before="40" w:after="100"/>
        <w:rPr>
          <w:sz w:val="20"/>
          <w:szCs w:val="20"/>
        </w:rPr>
      </w:pPr>
      <w:r w:rsidRPr="0041683D">
        <w:rPr>
          <w:sz w:val="20"/>
          <w:szCs w:val="20"/>
        </w:rPr>
        <w:t xml:space="preserve">Engage with Western Australians to promote and increase enrolment participation. </w:t>
      </w:r>
    </w:p>
    <w:p w:rsidR="00E879A2" w:rsidRPr="0041683D" w:rsidRDefault="00E879A2" w:rsidP="00E879A2">
      <w:pPr>
        <w:pStyle w:val="Pa9"/>
        <w:numPr>
          <w:ilvl w:val="0"/>
          <w:numId w:val="4"/>
        </w:numPr>
        <w:spacing w:before="40" w:after="100"/>
        <w:rPr>
          <w:sz w:val="20"/>
          <w:szCs w:val="20"/>
        </w:rPr>
      </w:pPr>
      <w:r w:rsidRPr="0041683D">
        <w:rPr>
          <w:sz w:val="20"/>
          <w:szCs w:val="20"/>
        </w:rPr>
        <w:t xml:space="preserve">Continually review and improve enrolment and roll maintenance policies and procedures. </w:t>
      </w:r>
    </w:p>
    <w:p w:rsidR="00E879A2" w:rsidRPr="0041683D" w:rsidRDefault="00E879A2" w:rsidP="00E879A2">
      <w:pPr>
        <w:pStyle w:val="BodyCopy"/>
        <w:numPr>
          <w:ilvl w:val="0"/>
          <w:numId w:val="4"/>
        </w:numPr>
        <w:rPr>
          <w:color w:val="auto"/>
          <w:sz w:val="20"/>
          <w:szCs w:val="20"/>
        </w:rPr>
      </w:pPr>
      <w:r w:rsidRPr="0041683D">
        <w:rPr>
          <w:color w:val="auto"/>
          <w:sz w:val="20"/>
          <w:szCs w:val="20"/>
        </w:rPr>
        <w:t>Ensure quality and compliance requirements are met with all roll products and services.</w:t>
      </w:r>
    </w:p>
    <w:p w:rsidR="00E879A2" w:rsidRDefault="00E879A2" w:rsidP="00531416">
      <w:pPr>
        <w:pStyle w:val="Heading2ARtitlecase"/>
        <w:rPr>
          <w:rStyle w:val="A16"/>
        </w:rPr>
      </w:pPr>
      <w:r>
        <w:t xml:space="preserve">Output </w:t>
      </w:r>
      <w:r>
        <w:rPr>
          <w:rStyle w:val="Heading1ARChar"/>
        </w:rPr>
        <w:t>3</w:t>
      </w:r>
      <w:r w:rsidRPr="00E879A2">
        <w:rPr>
          <w:rStyle w:val="Heading1ARChar"/>
        </w:rPr>
        <w:t>:</w:t>
      </w:r>
      <w:r>
        <w:rPr>
          <w:rStyle w:val="A16"/>
        </w:rPr>
        <w:t xml:space="preserve"> </w:t>
      </w:r>
    </w:p>
    <w:p w:rsidR="00E879A2" w:rsidRPr="00531416" w:rsidRDefault="00E879A2" w:rsidP="00531416">
      <w:pPr>
        <w:pStyle w:val="Heading2ARblack"/>
      </w:pPr>
      <w:r w:rsidRPr="00531416">
        <w:rPr>
          <w:rStyle w:val="A16"/>
          <w:color w:val="58585B"/>
          <w:sz w:val="42"/>
          <w:szCs w:val="42"/>
        </w:rPr>
        <w:t xml:space="preserve">Electoral Awareness &amp; Engagement </w:t>
      </w:r>
    </w:p>
    <w:p w:rsidR="00E879A2" w:rsidRPr="0041683D" w:rsidRDefault="00E879A2" w:rsidP="00E879A2">
      <w:pPr>
        <w:pStyle w:val="Pa1"/>
        <w:spacing w:before="40" w:after="100"/>
        <w:rPr>
          <w:sz w:val="20"/>
          <w:szCs w:val="20"/>
        </w:rPr>
      </w:pPr>
      <w:proofErr w:type="gramStart"/>
      <w:r w:rsidRPr="0041683D">
        <w:rPr>
          <w:b/>
          <w:bCs/>
          <w:sz w:val="20"/>
          <w:szCs w:val="20"/>
        </w:rPr>
        <w:t xml:space="preserve">Objective </w:t>
      </w:r>
      <w:r w:rsidRPr="0041683D">
        <w:rPr>
          <w:sz w:val="20"/>
          <w:szCs w:val="20"/>
        </w:rPr>
        <w:t>To increase community awareness of electoral services and active participation in elections.</w:t>
      </w:r>
      <w:proofErr w:type="gramEnd"/>
      <w:r w:rsidRPr="0041683D">
        <w:rPr>
          <w:sz w:val="20"/>
          <w:szCs w:val="20"/>
        </w:rPr>
        <w:t xml:space="preserve"> </w:t>
      </w:r>
    </w:p>
    <w:p w:rsidR="00E879A2" w:rsidRPr="0041683D" w:rsidRDefault="00E879A2" w:rsidP="00E879A2">
      <w:pPr>
        <w:pStyle w:val="Pa1"/>
        <w:spacing w:before="40" w:after="100"/>
        <w:rPr>
          <w:sz w:val="20"/>
          <w:szCs w:val="20"/>
        </w:rPr>
      </w:pPr>
      <w:r w:rsidRPr="0041683D">
        <w:rPr>
          <w:b/>
          <w:bCs/>
          <w:sz w:val="20"/>
          <w:szCs w:val="20"/>
        </w:rPr>
        <w:t xml:space="preserve">Strategies </w:t>
      </w:r>
    </w:p>
    <w:p w:rsidR="00E879A2" w:rsidRPr="0041683D" w:rsidRDefault="00E879A2" w:rsidP="00E879A2">
      <w:pPr>
        <w:pStyle w:val="Pa9"/>
        <w:numPr>
          <w:ilvl w:val="0"/>
          <w:numId w:val="4"/>
        </w:numPr>
        <w:spacing w:before="40" w:after="100"/>
        <w:rPr>
          <w:sz w:val="20"/>
          <w:szCs w:val="20"/>
        </w:rPr>
      </w:pPr>
      <w:r w:rsidRPr="0041683D">
        <w:rPr>
          <w:sz w:val="20"/>
          <w:szCs w:val="20"/>
        </w:rPr>
        <w:t xml:space="preserve">Be innovative and progressive in promoting community awareness and understanding of electoral services and elector obligations. </w:t>
      </w:r>
    </w:p>
    <w:p w:rsidR="00E879A2" w:rsidRPr="0041683D" w:rsidRDefault="00E879A2" w:rsidP="00E879A2">
      <w:pPr>
        <w:pStyle w:val="Pa9"/>
        <w:numPr>
          <w:ilvl w:val="0"/>
          <w:numId w:val="4"/>
        </w:numPr>
        <w:spacing w:before="40" w:after="100"/>
        <w:rPr>
          <w:sz w:val="20"/>
          <w:szCs w:val="20"/>
        </w:rPr>
      </w:pPr>
      <w:r w:rsidRPr="0041683D">
        <w:rPr>
          <w:sz w:val="20"/>
          <w:szCs w:val="20"/>
        </w:rPr>
        <w:t xml:space="preserve">Conduct effective educational programs to improve electoral awareness and participation. </w:t>
      </w:r>
    </w:p>
    <w:p w:rsidR="00E879A2" w:rsidRPr="0041683D" w:rsidRDefault="00E879A2" w:rsidP="00E879A2">
      <w:pPr>
        <w:pStyle w:val="BodyCopy"/>
        <w:numPr>
          <w:ilvl w:val="0"/>
          <w:numId w:val="4"/>
        </w:numPr>
        <w:rPr>
          <w:color w:val="auto"/>
          <w:sz w:val="20"/>
          <w:szCs w:val="20"/>
        </w:rPr>
      </w:pPr>
      <w:r w:rsidRPr="0041683D">
        <w:rPr>
          <w:color w:val="auto"/>
          <w:sz w:val="20"/>
          <w:szCs w:val="20"/>
        </w:rPr>
        <w:t>Actively advocate the importance and value of democratic processes and participation.</w:t>
      </w:r>
    </w:p>
    <w:p w:rsidR="00E879A2" w:rsidRPr="0041683D" w:rsidRDefault="00E879A2" w:rsidP="00E879A2">
      <w:pPr>
        <w:pStyle w:val="BodyCopy"/>
        <w:rPr>
          <w:color w:val="auto"/>
          <w:sz w:val="20"/>
          <w:szCs w:val="20"/>
        </w:rPr>
      </w:pPr>
      <w:r w:rsidRPr="0041683D">
        <w:rPr>
          <w:color w:val="auto"/>
          <w:sz w:val="20"/>
          <w:szCs w:val="20"/>
        </w:rPr>
        <w:t>The Commission’s Strategic Plan reflects these key outputs and identifies key strategies that will contribute to efficient, effective and client-focused service delivery.</w:t>
      </w:r>
    </w:p>
    <w:tbl>
      <w:tblPr>
        <w:tblW w:w="10408" w:type="dxa"/>
        <w:tblBorders>
          <w:top w:val="nil"/>
          <w:left w:val="nil"/>
          <w:bottom w:val="nil"/>
          <w:right w:val="nil"/>
        </w:tblBorders>
        <w:tblLayout w:type="fixed"/>
        <w:tblLook w:val="0000" w:firstRow="0" w:lastRow="0" w:firstColumn="0" w:lastColumn="0" w:noHBand="0" w:noVBand="0"/>
      </w:tblPr>
      <w:tblGrid>
        <w:gridCol w:w="3888"/>
        <w:gridCol w:w="6520"/>
      </w:tblGrid>
      <w:tr w:rsidR="00E879A2" w:rsidRPr="003D4B84" w:rsidTr="00271B0D">
        <w:trPr>
          <w:trHeight w:val="153"/>
        </w:trPr>
        <w:tc>
          <w:tcPr>
            <w:tcW w:w="3888" w:type="dxa"/>
          </w:tcPr>
          <w:p w:rsidR="00E879A2" w:rsidRPr="003D4B84" w:rsidRDefault="00E879A2" w:rsidP="0009212F">
            <w:pPr>
              <w:pStyle w:val="Pa12"/>
              <w:spacing w:line="240" w:lineRule="auto"/>
              <w:rPr>
                <w:color w:val="000000"/>
                <w:sz w:val="20"/>
                <w:szCs w:val="20"/>
              </w:rPr>
            </w:pPr>
            <w:r w:rsidRPr="003D4B84">
              <w:rPr>
                <w:b/>
                <w:bCs/>
                <w:color w:val="000000"/>
                <w:sz w:val="20"/>
                <w:szCs w:val="20"/>
              </w:rPr>
              <w:t xml:space="preserve">What we set out to do </w:t>
            </w:r>
          </w:p>
        </w:tc>
        <w:tc>
          <w:tcPr>
            <w:tcW w:w="6520" w:type="dxa"/>
          </w:tcPr>
          <w:p w:rsidR="00E879A2" w:rsidRPr="003D4B84" w:rsidRDefault="00E879A2" w:rsidP="00271B0D">
            <w:pPr>
              <w:pStyle w:val="Pa12"/>
              <w:spacing w:line="240" w:lineRule="auto"/>
              <w:ind w:left="-108"/>
              <w:rPr>
                <w:color w:val="000000"/>
                <w:sz w:val="20"/>
                <w:szCs w:val="20"/>
              </w:rPr>
            </w:pPr>
            <w:r w:rsidRPr="003D4B84">
              <w:rPr>
                <w:b/>
                <w:bCs/>
                <w:color w:val="000000"/>
                <w:sz w:val="20"/>
                <w:szCs w:val="20"/>
              </w:rPr>
              <w:t xml:space="preserve">What we achieved </w:t>
            </w:r>
          </w:p>
        </w:tc>
      </w:tr>
      <w:tr w:rsidR="00E879A2" w:rsidRPr="00E879A2" w:rsidTr="00271B0D">
        <w:trPr>
          <w:trHeight w:val="265"/>
        </w:trPr>
        <w:tc>
          <w:tcPr>
            <w:tcW w:w="3888" w:type="dxa"/>
          </w:tcPr>
          <w:p w:rsidR="00E879A2" w:rsidRPr="0041683D" w:rsidRDefault="00E879A2">
            <w:pPr>
              <w:pStyle w:val="Pa1"/>
              <w:spacing w:before="40" w:after="100"/>
              <w:rPr>
                <w:sz w:val="20"/>
                <w:szCs w:val="20"/>
              </w:rPr>
            </w:pPr>
            <w:r w:rsidRPr="0041683D">
              <w:rPr>
                <w:sz w:val="20"/>
                <w:szCs w:val="20"/>
              </w:rPr>
              <w:t xml:space="preserve">State by-elections </w:t>
            </w:r>
          </w:p>
        </w:tc>
        <w:tc>
          <w:tcPr>
            <w:tcW w:w="6520" w:type="dxa"/>
          </w:tcPr>
          <w:p w:rsidR="00E879A2" w:rsidRPr="0041683D" w:rsidRDefault="00E879A2" w:rsidP="00271B0D">
            <w:pPr>
              <w:pStyle w:val="Pa9"/>
              <w:spacing w:before="40"/>
              <w:ind w:left="-122" w:firstLine="42"/>
              <w:rPr>
                <w:sz w:val="20"/>
                <w:szCs w:val="20"/>
              </w:rPr>
            </w:pPr>
            <w:r w:rsidRPr="0041683D">
              <w:rPr>
                <w:sz w:val="20"/>
                <w:szCs w:val="20"/>
              </w:rPr>
              <w:t xml:space="preserve">Successful conduct of the Vasse by-election in October 2014, with the participation rate exceeding recent by-elections. </w:t>
            </w:r>
          </w:p>
        </w:tc>
      </w:tr>
    </w:tbl>
    <w:p w:rsidR="00B149BC" w:rsidRDefault="00B149BC" w:rsidP="0009212F">
      <w:pPr>
        <w:pStyle w:val="Pa1"/>
        <w:spacing w:after="100" w:line="240" w:lineRule="auto"/>
        <w:rPr>
          <w:sz w:val="20"/>
          <w:szCs w:val="20"/>
        </w:rPr>
        <w:sectPr w:rsidR="00B149BC" w:rsidSect="00B149BC">
          <w:type w:val="continuous"/>
          <w:pgSz w:w="11906" w:h="16838"/>
          <w:pgMar w:top="720" w:right="720" w:bottom="720" w:left="720" w:header="720" w:footer="720" w:gutter="0"/>
          <w:cols w:space="720"/>
          <w:noEndnote/>
        </w:sectPr>
      </w:pPr>
    </w:p>
    <w:tbl>
      <w:tblPr>
        <w:tblW w:w="10456" w:type="dxa"/>
        <w:tblBorders>
          <w:top w:val="nil"/>
          <w:left w:val="nil"/>
          <w:bottom w:val="nil"/>
          <w:right w:val="nil"/>
        </w:tblBorders>
        <w:tblLayout w:type="fixed"/>
        <w:tblLook w:val="0000" w:firstRow="0" w:lastRow="0" w:firstColumn="0" w:lastColumn="0" w:noHBand="0" w:noVBand="0"/>
      </w:tblPr>
      <w:tblGrid>
        <w:gridCol w:w="3794"/>
        <w:gridCol w:w="6662"/>
      </w:tblGrid>
      <w:tr w:rsidR="00E879A2" w:rsidRPr="00E879A2" w:rsidTr="00271B0D">
        <w:trPr>
          <w:trHeight w:val="925"/>
        </w:trPr>
        <w:tc>
          <w:tcPr>
            <w:tcW w:w="3794" w:type="dxa"/>
          </w:tcPr>
          <w:p w:rsidR="00E879A2" w:rsidRPr="0041683D" w:rsidRDefault="00E879A2" w:rsidP="0009212F">
            <w:pPr>
              <w:pStyle w:val="Pa1"/>
              <w:spacing w:after="100" w:line="240" w:lineRule="auto"/>
              <w:rPr>
                <w:sz w:val="20"/>
                <w:szCs w:val="20"/>
              </w:rPr>
            </w:pPr>
            <w:r w:rsidRPr="0041683D">
              <w:rPr>
                <w:sz w:val="20"/>
                <w:szCs w:val="20"/>
              </w:rPr>
              <w:lastRenderedPageBreak/>
              <w:t xml:space="preserve">Conduct efficient and cost-effective elections for local governments. </w:t>
            </w:r>
          </w:p>
        </w:tc>
        <w:tc>
          <w:tcPr>
            <w:tcW w:w="6662" w:type="dxa"/>
          </w:tcPr>
          <w:p w:rsidR="00E879A2" w:rsidRPr="0041683D" w:rsidRDefault="00E879A2" w:rsidP="0009212F">
            <w:pPr>
              <w:pStyle w:val="Pa9"/>
              <w:spacing w:before="40"/>
              <w:rPr>
                <w:sz w:val="20"/>
                <w:szCs w:val="20"/>
              </w:rPr>
            </w:pPr>
            <w:r w:rsidRPr="0041683D">
              <w:rPr>
                <w:sz w:val="20"/>
                <w:szCs w:val="20"/>
              </w:rPr>
              <w:t xml:space="preserve">Conducted five polls of electors as a result of the report from the Local Government Advisory Board on recommended amalgamations. </w:t>
            </w:r>
          </w:p>
          <w:p w:rsidR="00E879A2" w:rsidRPr="0041683D" w:rsidRDefault="00E879A2" w:rsidP="0009212F">
            <w:pPr>
              <w:pStyle w:val="Pa9"/>
              <w:spacing w:before="40"/>
              <w:rPr>
                <w:sz w:val="20"/>
                <w:szCs w:val="20"/>
              </w:rPr>
            </w:pPr>
            <w:r w:rsidRPr="0041683D">
              <w:rPr>
                <w:sz w:val="20"/>
                <w:szCs w:val="20"/>
              </w:rPr>
              <w:t xml:space="preserve">Conducted four extraordinary postal elections, ranging from Shark Bay in the north to Menzies in the East, and two for the Town of Mosman Park. </w:t>
            </w:r>
          </w:p>
          <w:p w:rsidR="00E879A2" w:rsidRPr="0041683D" w:rsidRDefault="00E879A2" w:rsidP="00B149BC">
            <w:pPr>
              <w:pStyle w:val="Pa9"/>
              <w:spacing w:after="100" w:line="240" w:lineRule="auto"/>
              <w:rPr>
                <w:sz w:val="20"/>
                <w:szCs w:val="20"/>
              </w:rPr>
            </w:pPr>
            <w:r w:rsidRPr="0041683D">
              <w:rPr>
                <w:sz w:val="20"/>
                <w:szCs w:val="20"/>
              </w:rPr>
              <w:t xml:space="preserve">Commenced planning on elections for 88 local governments for the 2015 Local Government Ordinary Elections. </w:t>
            </w:r>
          </w:p>
        </w:tc>
      </w:tr>
      <w:tr w:rsidR="00E879A2" w:rsidRPr="00E879A2" w:rsidTr="00271B0D">
        <w:trPr>
          <w:trHeight w:val="840"/>
        </w:trPr>
        <w:tc>
          <w:tcPr>
            <w:tcW w:w="3794" w:type="dxa"/>
          </w:tcPr>
          <w:p w:rsidR="00E879A2" w:rsidRPr="0041683D" w:rsidRDefault="00E879A2">
            <w:pPr>
              <w:pStyle w:val="Pa1"/>
              <w:spacing w:before="40" w:after="100"/>
              <w:rPr>
                <w:sz w:val="20"/>
                <w:szCs w:val="20"/>
              </w:rPr>
            </w:pPr>
            <w:r w:rsidRPr="0041683D">
              <w:rPr>
                <w:sz w:val="20"/>
                <w:szCs w:val="20"/>
              </w:rPr>
              <w:t xml:space="preserve">Efficiently conduct elections with successful outcomes for our diverse mix of union and fee-for-service organisations. </w:t>
            </w:r>
          </w:p>
        </w:tc>
        <w:tc>
          <w:tcPr>
            <w:tcW w:w="6662" w:type="dxa"/>
          </w:tcPr>
          <w:p w:rsidR="00E879A2" w:rsidRPr="0041683D" w:rsidRDefault="00E879A2" w:rsidP="00B149BC">
            <w:pPr>
              <w:pStyle w:val="Pa9"/>
              <w:spacing w:before="40" w:after="100"/>
              <w:ind w:left="34" w:hanging="34"/>
              <w:rPr>
                <w:sz w:val="20"/>
                <w:szCs w:val="20"/>
              </w:rPr>
            </w:pPr>
            <w:r w:rsidRPr="0041683D">
              <w:rPr>
                <w:sz w:val="20"/>
                <w:szCs w:val="20"/>
              </w:rPr>
              <w:t xml:space="preserve">Conducted elections and polls to a high standard for 33 organisations, including trade unions, private or public sector boards and various community organisations. </w:t>
            </w:r>
          </w:p>
          <w:p w:rsidR="00E879A2" w:rsidRPr="0041683D" w:rsidRDefault="00E879A2" w:rsidP="00B149BC">
            <w:pPr>
              <w:pStyle w:val="Pa9"/>
              <w:spacing w:before="40" w:after="100"/>
              <w:rPr>
                <w:sz w:val="20"/>
                <w:szCs w:val="20"/>
              </w:rPr>
            </w:pPr>
            <w:r w:rsidRPr="0041683D">
              <w:rPr>
                <w:sz w:val="20"/>
                <w:szCs w:val="20"/>
              </w:rPr>
              <w:t xml:space="preserve">Assisted a number of organisations with the review and redrafting of their election rules in accordance with best practice standards, promoting confidence in the integrity and reliability of our election services. </w:t>
            </w:r>
          </w:p>
        </w:tc>
      </w:tr>
      <w:tr w:rsidR="00E879A2" w:rsidRPr="00E879A2" w:rsidTr="00271B0D">
        <w:trPr>
          <w:trHeight w:val="962"/>
        </w:trPr>
        <w:tc>
          <w:tcPr>
            <w:tcW w:w="3794" w:type="dxa"/>
          </w:tcPr>
          <w:p w:rsidR="00E879A2" w:rsidRPr="0041683D" w:rsidRDefault="00E879A2">
            <w:pPr>
              <w:pStyle w:val="Pa1"/>
              <w:spacing w:before="40" w:after="100"/>
              <w:rPr>
                <w:sz w:val="20"/>
                <w:szCs w:val="20"/>
              </w:rPr>
            </w:pPr>
            <w:r w:rsidRPr="0041683D">
              <w:rPr>
                <w:sz w:val="20"/>
                <w:szCs w:val="20"/>
              </w:rPr>
              <w:t xml:space="preserve">Continue to improve our electoral systems, procedures, services and governance arrangements. </w:t>
            </w:r>
          </w:p>
        </w:tc>
        <w:tc>
          <w:tcPr>
            <w:tcW w:w="6662" w:type="dxa"/>
          </w:tcPr>
          <w:p w:rsidR="00E879A2" w:rsidRPr="0041683D" w:rsidRDefault="00E879A2" w:rsidP="00E879A2">
            <w:pPr>
              <w:pStyle w:val="Pa9"/>
              <w:spacing w:before="40" w:after="100"/>
              <w:rPr>
                <w:sz w:val="20"/>
                <w:szCs w:val="20"/>
              </w:rPr>
            </w:pPr>
            <w:r w:rsidRPr="0041683D">
              <w:rPr>
                <w:sz w:val="20"/>
                <w:szCs w:val="20"/>
              </w:rPr>
              <w:t xml:space="preserve">Completed the agreed program of internal audits and maintained certification of our Quality Management System to ISO standards through an external audit by BSI. </w:t>
            </w:r>
          </w:p>
          <w:p w:rsidR="00E879A2" w:rsidRPr="0041683D" w:rsidRDefault="00E879A2" w:rsidP="00E879A2">
            <w:pPr>
              <w:pStyle w:val="Pa9"/>
              <w:spacing w:before="40" w:after="100"/>
              <w:rPr>
                <w:sz w:val="20"/>
                <w:szCs w:val="20"/>
              </w:rPr>
            </w:pPr>
            <w:r w:rsidRPr="0041683D">
              <w:rPr>
                <w:rStyle w:val="A15"/>
                <w:color w:val="auto"/>
                <w:sz w:val="20"/>
                <w:szCs w:val="20"/>
              </w:rPr>
              <w:t>9</w:t>
            </w:r>
            <w:r w:rsidRPr="0041683D">
              <w:rPr>
                <w:sz w:val="20"/>
                <w:szCs w:val="20"/>
              </w:rPr>
              <w:t xml:space="preserve">Analysed in detail all recommendations and stakeholder feedback from the State general election and the local government ordinary elections and set in train actions to address identified issues, including major upgrades to core election management systems. </w:t>
            </w:r>
          </w:p>
        </w:tc>
      </w:tr>
    </w:tbl>
    <w:p w:rsidR="00271B0D" w:rsidRDefault="00271B0D">
      <w:r>
        <w:br w:type="page"/>
      </w:r>
    </w:p>
    <w:tbl>
      <w:tblPr>
        <w:tblW w:w="10598" w:type="dxa"/>
        <w:tblBorders>
          <w:top w:val="nil"/>
          <w:left w:val="nil"/>
          <w:bottom w:val="nil"/>
          <w:right w:val="nil"/>
        </w:tblBorders>
        <w:tblLayout w:type="fixed"/>
        <w:tblLook w:val="0000" w:firstRow="0" w:lastRow="0" w:firstColumn="0" w:lastColumn="0" w:noHBand="0" w:noVBand="0"/>
      </w:tblPr>
      <w:tblGrid>
        <w:gridCol w:w="3794"/>
        <w:gridCol w:w="6662"/>
        <w:gridCol w:w="142"/>
      </w:tblGrid>
      <w:tr w:rsidR="00E879A2" w:rsidRPr="00E879A2" w:rsidTr="00271B0D">
        <w:trPr>
          <w:gridAfter w:val="1"/>
          <w:wAfter w:w="142" w:type="dxa"/>
          <w:trHeight w:val="1952"/>
        </w:trPr>
        <w:tc>
          <w:tcPr>
            <w:tcW w:w="3794" w:type="dxa"/>
          </w:tcPr>
          <w:p w:rsidR="00E879A2" w:rsidRPr="0041683D" w:rsidRDefault="00E879A2">
            <w:pPr>
              <w:pStyle w:val="Pa1"/>
              <w:spacing w:before="40" w:after="100"/>
              <w:rPr>
                <w:sz w:val="20"/>
                <w:szCs w:val="20"/>
              </w:rPr>
            </w:pPr>
            <w:r w:rsidRPr="0041683D">
              <w:rPr>
                <w:sz w:val="20"/>
                <w:szCs w:val="20"/>
              </w:rPr>
              <w:lastRenderedPageBreak/>
              <w:t xml:space="preserve">Maintain the State electoral roll, provide quality roll products and enhance enrolment processes. </w:t>
            </w:r>
          </w:p>
        </w:tc>
        <w:tc>
          <w:tcPr>
            <w:tcW w:w="6662" w:type="dxa"/>
          </w:tcPr>
          <w:p w:rsidR="00E879A2" w:rsidRPr="0041683D" w:rsidRDefault="00E879A2" w:rsidP="00E879A2">
            <w:pPr>
              <w:pStyle w:val="Pa9"/>
              <w:spacing w:before="40" w:after="100"/>
              <w:rPr>
                <w:sz w:val="20"/>
                <w:szCs w:val="20"/>
              </w:rPr>
            </w:pPr>
            <w:r w:rsidRPr="0041683D">
              <w:rPr>
                <w:sz w:val="20"/>
                <w:szCs w:val="20"/>
              </w:rPr>
              <w:t xml:space="preserve">Provided a total of 12 residents rolls to local government clients for individual elections, polling, boundary or ward reviews, on time and to a high standard of accuracy. </w:t>
            </w:r>
          </w:p>
          <w:p w:rsidR="00E879A2" w:rsidRPr="0041683D" w:rsidRDefault="00E879A2" w:rsidP="00E879A2">
            <w:pPr>
              <w:pStyle w:val="Pa9"/>
              <w:spacing w:before="40" w:after="100"/>
              <w:rPr>
                <w:sz w:val="20"/>
                <w:szCs w:val="20"/>
              </w:rPr>
            </w:pPr>
            <w:r w:rsidRPr="0041683D">
              <w:rPr>
                <w:sz w:val="20"/>
                <w:szCs w:val="20"/>
              </w:rPr>
              <w:t xml:space="preserve">Efficiently provided the Sheriff with jury lists for each of the 16 jury districts as well as roll products to Members of Parliament and other eligible clients. </w:t>
            </w:r>
          </w:p>
          <w:p w:rsidR="00E879A2" w:rsidRPr="0041683D" w:rsidRDefault="00E879A2" w:rsidP="00E879A2">
            <w:pPr>
              <w:pStyle w:val="Pa9"/>
              <w:spacing w:before="40" w:after="100"/>
              <w:rPr>
                <w:sz w:val="20"/>
                <w:szCs w:val="20"/>
              </w:rPr>
            </w:pPr>
            <w:r w:rsidRPr="0041683D">
              <w:rPr>
                <w:sz w:val="20"/>
                <w:szCs w:val="20"/>
              </w:rPr>
              <w:t xml:space="preserve">Prepared for 19 local government amalgamations or boundary changes that were subsequently revoked. </w:t>
            </w:r>
          </w:p>
          <w:p w:rsidR="00E879A2" w:rsidRPr="0041683D" w:rsidRDefault="00E879A2" w:rsidP="00E879A2">
            <w:pPr>
              <w:pStyle w:val="Pa9"/>
              <w:spacing w:before="40" w:after="100"/>
              <w:rPr>
                <w:sz w:val="20"/>
                <w:szCs w:val="20"/>
              </w:rPr>
            </w:pPr>
            <w:r w:rsidRPr="0041683D">
              <w:rPr>
                <w:sz w:val="20"/>
                <w:szCs w:val="20"/>
              </w:rPr>
              <w:t xml:space="preserve">Produced 5 electoral rolls for postal referendum of local government amalgamations or boundary changes. </w:t>
            </w:r>
          </w:p>
          <w:p w:rsidR="00E879A2" w:rsidRPr="0041683D" w:rsidRDefault="00E879A2" w:rsidP="00E879A2">
            <w:pPr>
              <w:pStyle w:val="Pa9"/>
              <w:spacing w:before="40" w:after="100"/>
              <w:rPr>
                <w:sz w:val="20"/>
                <w:szCs w:val="20"/>
              </w:rPr>
            </w:pPr>
            <w:r w:rsidRPr="0041683D">
              <w:rPr>
                <w:sz w:val="20"/>
                <w:szCs w:val="20"/>
              </w:rPr>
              <w:t>Completed a major project to integrate GIS technologies with the State Roll database, including the geocoding of all elector habitations within the State.</w:t>
            </w:r>
          </w:p>
        </w:tc>
      </w:tr>
      <w:tr w:rsidR="00E879A2" w:rsidRPr="003D4B84" w:rsidTr="00271B0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3794" w:type="dxa"/>
          </w:tcPr>
          <w:p w:rsidR="00E879A2" w:rsidRPr="003D4B84" w:rsidRDefault="00E879A2">
            <w:pPr>
              <w:pStyle w:val="Pa12"/>
              <w:spacing w:before="280"/>
              <w:rPr>
                <w:color w:val="000000"/>
                <w:sz w:val="20"/>
                <w:szCs w:val="20"/>
              </w:rPr>
            </w:pPr>
            <w:r w:rsidRPr="003D4B84">
              <w:rPr>
                <w:color w:val="000000"/>
                <w:sz w:val="20"/>
                <w:szCs w:val="20"/>
              </w:rPr>
              <w:t xml:space="preserve">What we set out to do </w:t>
            </w:r>
          </w:p>
        </w:tc>
        <w:tc>
          <w:tcPr>
            <w:tcW w:w="6804" w:type="dxa"/>
            <w:gridSpan w:val="2"/>
          </w:tcPr>
          <w:p w:rsidR="00E879A2" w:rsidRPr="003D4B84" w:rsidRDefault="00E879A2">
            <w:pPr>
              <w:pStyle w:val="Pa12"/>
              <w:spacing w:before="280"/>
              <w:rPr>
                <w:color w:val="000000"/>
                <w:sz w:val="20"/>
                <w:szCs w:val="20"/>
              </w:rPr>
            </w:pPr>
            <w:r w:rsidRPr="003D4B84">
              <w:rPr>
                <w:color w:val="000000"/>
                <w:sz w:val="20"/>
                <w:szCs w:val="20"/>
              </w:rPr>
              <w:t xml:space="preserve">What we achieved </w:t>
            </w:r>
          </w:p>
        </w:tc>
      </w:tr>
      <w:tr w:rsidR="00E879A2" w:rsidTr="00271B0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3794" w:type="dxa"/>
          </w:tcPr>
          <w:p w:rsidR="00E879A2" w:rsidRPr="0041683D" w:rsidRDefault="00E879A2">
            <w:pPr>
              <w:pStyle w:val="Pa1"/>
              <w:spacing w:before="40" w:after="100"/>
              <w:rPr>
                <w:sz w:val="20"/>
                <w:szCs w:val="20"/>
              </w:rPr>
            </w:pPr>
            <w:r w:rsidRPr="0041683D">
              <w:rPr>
                <w:sz w:val="20"/>
                <w:szCs w:val="20"/>
              </w:rPr>
              <w:t xml:space="preserve">Increase community awareness of and participation in electoral processes through effective education and public information programs. </w:t>
            </w:r>
          </w:p>
        </w:tc>
        <w:tc>
          <w:tcPr>
            <w:tcW w:w="6804" w:type="dxa"/>
            <w:gridSpan w:val="2"/>
          </w:tcPr>
          <w:p w:rsidR="00E879A2" w:rsidRPr="0041683D" w:rsidRDefault="00E879A2" w:rsidP="00E879A2">
            <w:pPr>
              <w:pStyle w:val="Pa9"/>
              <w:spacing w:before="40" w:after="100"/>
              <w:ind w:left="46"/>
              <w:rPr>
                <w:sz w:val="20"/>
                <w:szCs w:val="20"/>
              </w:rPr>
            </w:pPr>
            <w:r w:rsidRPr="0041683D">
              <w:rPr>
                <w:sz w:val="20"/>
                <w:szCs w:val="20"/>
              </w:rPr>
              <w:t xml:space="preserve">Conducted electoral education visits to almost 300 schools as well as hosting visits by a further 225 groups, with a total of 30,786 individual student participants. </w:t>
            </w:r>
          </w:p>
          <w:p w:rsidR="00E879A2" w:rsidRPr="0041683D" w:rsidRDefault="00E879A2" w:rsidP="00E879A2">
            <w:pPr>
              <w:pStyle w:val="Pa9"/>
              <w:spacing w:before="40" w:after="100"/>
              <w:ind w:left="46"/>
              <w:rPr>
                <w:sz w:val="20"/>
                <w:szCs w:val="20"/>
              </w:rPr>
            </w:pPr>
            <w:r w:rsidRPr="0041683D">
              <w:rPr>
                <w:sz w:val="20"/>
                <w:szCs w:val="20"/>
              </w:rPr>
              <w:t xml:space="preserve">Conducted electoral awareness activities for </w:t>
            </w:r>
            <w:proofErr w:type="spellStart"/>
            <w:r w:rsidRPr="0041683D">
              <w:rPr>
                <w:sz w:val="20"/>
                <w:szCs w:val="20"/>
              </w:rPr>
              <w:t>CaLD</w:t>
            </w:r>
            <w:proofErr w:type="spellEnd"/>
            <w:r w:rsidRPr="0041683D">
              <w:rPr>
                <w:sz w:val="20"/>
                <w:szCs w:val="20"/>
              </w:rPr>
              <w:t xml:space="preserve"> community groups in conjunction with the Constitutional Centre and Local Government officers as well as presenting at the National Youth Week forum. </w:t>
            </w:r>
          </w:p>
        </w:tc>
      </w:tr>
      <w:tr w:rsidR="00E879A2" w:rsidTr="00271B0D">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c>
          <w:tcPr>
            <w:tcW w:w="3794" w:type="dxa"/>
          </w:tcPr>
          <w:p w:rsidR="00E879A2" w:rsidRPr="0041683D" w:rsidRDefault="00E879A2">
            <w:pPr>
              <w:pStyle w:val="Pa1"/>
              <w:spacing w:before="40" w:after="100"/>
              <w:rPr>
                <w:sz w:val="20"/>
                <w:szCs w:val="20"/>
              </w:rPr>
            </w:pPr>
            <w:r w:rsidRPr="0041683D">
              <w:rPr>
                <w:sz w:val="20"/>
                <w:szCs w:val="20"/>
              </w:rPr>
              <w:t xml:space="preserve">Maximise use of cutting edge technology. </w:t>
            </w:r>
          </w:p>
        </w:tc>
        <w:tc>
          <w:tcPr>
            <w:tcW w:w="6804" w:type="dxa"/>
            <w:gridSpan w:val="2"/>
          </w:tcPr>
          <w:p w:rsidR="00E879A2" w:rsidRPr="0041683D" w:rsidRDefault="00E879A2" w:rsidP="00E879A2">
            <w:pPr>
              <w:pStyle w:val="Pa9"/>
              <w:spacing w:before="40" w:after="100"/>
              <w:ind w:left="46"/>
              <w:rPr>
                <w:sz w:val="20"/>
                <w:szCs w:val="20"/>
              </w:rPr>
            </w:pPr>
            <w:r w:rsidRPr="0041683D">
              <w:rPr>
                <w:sz w:val="20"/>
                <w:szCs w:val="20"/>
              </w:rPr>
              <w:t xml:space="preserve">Established an external data centre to replicate all Commission data in real time, enabling a switch to back-up within minutes in the event of a major disruption to existing systems. This plan includes access to an off-site centre in the event that head office is not available. </w:t>
            </w:r>
          </w:p>
          <w:p w:rsidR="00E879A2" w:rsidRPr="0041683D" w:rsidRDefault="00E879A2" w:rsidP="00E879A2">
            <w:pPr>
              <w:pStyle w:val="Pa9"/>
              <w:spacing w:before="40" w:after="100"/>
              <w:ind w:left="46"/>
              <w:rPr>
                <w:sz w:val="20"/>
                <w:szCs w:val="20"/>
              </w:rPr>
            </w:pPr>
            <w:r w:rsidRPr="0041683D">
              <w:rPr>
                <w:sz w:val="20"/>
                <w:szCs w:val="20"/>
              </w:rPr>
              <w:t xml:space="preserve">Geo-coded all enrolment address data to facilitate ease of mapping for the re-division of electoral districts by the Distribution Commissioners. </w:t>
            </w:r>
          </w:p>
          <w:p w:rsidR="00E879A2" w:rsidRPr="0041683D" w:rsidRDefault="00E879A2" w:rsidP="00E879A2">
            <w:pPr>
              <w:pStyle w:val="Pa9"/>
              <w:spacing w:before="40" w:after="100"/>
              <w:ind w:left="46"/>
              <w:rPr>
                <w:sz w:val="20"/>
                <w:szCs w:val="20"/>
              </w:rPr>
            </w:pPr>
            <w:r w:rsidRPr="0041683D">
              <w:rPr>
                <w:sz w:val="20"/>
                <w:szCs w:val="20"/>
              </w:rPr>
              <w:t xml:space="preserve">Further developed our </w:t>
            </w:r>
            <w:proofErr w:type="spellStart"/>
            <w:r w:rsidRPr="0041683D">
              <w:rPr>
                <w:sz w:val="20"/>
                <w:szCs w:val="20"/>
              </w:rPr>
              <w:t>CountWA</w:t>
            </w:r>
            <w:proofErr w:type="spellEnd"/>
            <w:r w:rsidRPr="0041683D">
              <w:rPr>
                <w:sz w:val="20"/>
                <w:szCs w:val="20"/>
              </w:rPr>
              <w:t xml:space="preserve"> system for the automated counting of ballots using a wide range of count methodologies, facilitating the prompt and accurate counting of ballot papers in fee-for-service elections. </w:t>
            </w:r>
          </w:p>
          <w:p w:rsidR="00E879A2" w:rsidRPr="0041683D" w:rsidRDefault="00E879A2" w:rsidP="00E879A2">
            <w:pPr>
              <w:pStyle w:val="Pa9"/>
              <w:spacing w:before="40" w:after="100"/>
              <w:ind w:left="46"/>
              <w:rPr>
                <w:sz w:val="20"/>
                <w:szCs w:val="20"/>
              </w:rPr>
            </w:pPr>
            <w:r w:rsidRPr="0041683D">
              <w:rPr>
                <w:sz w:val="20"/>
                <w:szCs w:val="20"/>
              </w:rPr>
              <w:t>Replaced the existing telephone system with a new digital VoIP system, providing greater functionality at reduced cost, and capable of expansion for use in a call centre for major electoral events.</w:t>
            </w:r>
          </w:p>
        </w:tc>
      </w:tr>
    </w:tbl>
    <w:p w:rsidR="00B149BC" w:rsidRDefault="00B149BC" w:rsidP="00C3314F">
      <w:pPr>
        <w:pStyle w:val="SectionHeading"/>
        <w:rPr>
          <w:rFonts w:ascii="Arial" w:hAnsi="Arial" w:cs="Arial"/>
        </w:rPr>
      </w:pPr>
      <w:r>
        <w:rPr>
          <w:rFonts w:ascii="Arial" w:hAnsi="Arial" w:cs="Arial"/>
        </w:rPr>
        <w:br w:type="page"/>
      </w:r>
    </w:p>
    <w:p w:rsidR="00C3314F" w:rsidRPr="0041683D" w:rsidRDefault="00C3314F" w:rsidP="004C6811">
      <w:pPr>
        <w:pStyle w:val="Heading1largeAR"/>
      </w:pPr>
      <w:r w:rsidRPr="0041683D">
        <w:lastRenderedPageBreak/>
        <w:t xml:space="preserve">reports of operations </w:t>
      </w:r>
    </w:p>
    <w:p w:rsidR="00C3314F" w:rsidRPr="0041683D" w:rsidRDefault="00C3314F" w:rsidP="00531416">
      <w:pPr>
        <w:pStyle w:val="Heading2ARtitlecase"/>
      </w:pPr>
      <w:r w:rsidRPr="0041683D">
        <w:t>OUTPUTS AND RESULTS AREA</w:t>
      </w:r>
    </w:p>
    <w:p w:rsidR="004C6811" w:rsidRPr="00531416" w:rsidRDefault="00C3314F" w:rsidP="00531416">
      <w:pPr>
        <w:pStyle w:val="Heading2ARtitlecase"/>
        <w:rPr>
          <w:rStyle w:val="Heading2ARChar"/>
          <w:rFonts w:ascii="Arial" w:hAnsi="Arial" w:cs="Arial"/>
          <w:caps w:val="0"/>
          <w:spacing w:val="0"/>
          <w:sz w:val="35"/>
          <w:szCs w:val="35"/>
        </w:rPr>
      </w:pPr>
      <w:r w:rsidRPr="00531416">
        <w:rPr>
          <w:rStyle w:val="Heading2ARChar"/>
          <w:rFonts w:ascii="Arial" w:hAnsi="Arial" w:cs="Arial"/>
          <w:caps w:val="0"/>
          <w:spacing w:val="0"/>
          <w:sz w:val="35"/>
          <w:szCs w:val="35"/>
        </w:rPr>
        <w:t>Output 1:</w:t>
      </w:r>
    </w:p>
    <w:p w:rsidR="00C3314F" w:rsidRPr="00531416" w:rsidRDefault="00C3314F" w:rsidP="00531416">
      <w:pPr>
        <w:pStyle w:val="Heading2ARblack"/>
      </w:pPr>
      <w:r w:rsidRPr="00531416">
        <w:t>Election Management</w:t>
      </w:r>
    </w:p>
    <w:p w:rsidR="00C3314F" w:rsidRPr="0098393B" w:rsidRDefault="00C3314F" w:rsidP="00C3314F">
      <w:pPr>
        <w:pStyle w:val="BodyCopy"/>
        <w:rPr>
          <w:color w:val="000000" w:themeColor="text1"/>
          <w:sz w:val="20"/>
          <w:szCs w:val="20"/>
        </w:rPr>
      </w:pPr>
      <w:r w:rsidRPr="0098393B">
        <w:rPr>
          <w:color w:val="000000" w:themeColor="text1"/>
          <w:sz w:val="20"/>
          <w:szCs w:val="20"/>
        </w:rPr>
        <w:t xml:space="preserve">The main electoral events during the reporting period were the </w:t>
      </w:r>
      <w:proofErr w:type="spellStart"/>
      <w:r w:rsidRPr="0098393B">
        <w:rPr>
          <w:color w:val="000000" w:themeColor="text1"/>
          <w:sz w:val="20"/>
          <w:szCs w:val="20"/>
        </w:rPr>
        <w:t>Vasse</w:t>
      </w:r>
      <w:proofErr w:type="spellEnd"/>
      <w:r w:rsidRPr="0098393B">
        <w:rPr>
          <w:color w:val="000000" w:themeColor="text1"/>
          <w:sz w:val="20"/>
          <w:szCs w:val="20"/>
        </w:rPr>
        <w:t xml:space="preserve"> by-election in October 2014 and the conduct of amalgamation polls for the local government reform process. </w:t>
      </w:r>
    </w:p>
    <w:p w:rsidR="00C3314F" w:rsidRPr="0098393B" w:rsidRDefault="00C3314F" w:rsidP="00C3314F">
      <w:pPr>
        <w:pStyle w:val="BodyCopy"/>
        <w:rPr>
          <w:color w:val="000000" w:themeColor="text1"/>
          <w:sz w:val="20"/>
          <w:szCs w:val="20"/>
        </w:rPr>
      </w:pPr>
      <w:r w:rsidRPr="0098393B">
        <w:rPr>
          <w:color w:val="000000" w:themeColor="text1"/>
          <w:sz w:val="20"/>
          <w:szCs w:val="20"/>
        </w:rPr>
        <w:t xml:space="preserve">A by-election conducted in the Legislative Assembly district of </w:t>
      </w:r>
      <w:proofErr w:type="spellStart"/>
      <w:r w:rsidRPr="0098393B">
        <w:rPr>
          <w:color w:val="000000" w:themeColor="text1"/>
          <w:sz w:val="20"/>
          <w:szCs w:val="20"/>
        </w:rPr>
        <w:t>Vasse</w:t>
      </w:r>
      <w:proofErr w:type="spellEnd"/>
      <w:r w:rsidRPr="0098393B">
        <w:rPr>
          <w:color w:val="000000" w:themeColor="text1"/>
          <w:sz w:val="20"/>
          <w:szCs w:val="20"/>
        </w:rPr>
        <w:t xml:space="preserve"> on Saturday 18 October 2014 saw a total of 20,430 votes cast, representing 82.58% of enrolled electors and comparing favourably with overall voter turnout in the previous three by-elections. A notable feature was the 19 per cent increase in the level of early voting compared with the 2013 State general election. </w:t>
      </w:r>
    </w:p>
    <w:tbl>
      <w:tblPr>
        <w:tblW w:w="10682" w:type="dxa"/>
        <w:tblLook w:val="04A0" w:firstRow="1" w:lastRow="0" w:firstColumn="1" w:lastColumn="0" w:noHBand="0" w:noVBand="1"/>
      </w:tblPr>
      <w:tblGrid>
        <w:gridCol w:w="2802"/>
        <w:gridCol w:w="1746"/>
        <w:gridCol w:w="2115"/>
        <w:gridCol w:w="2114"/>
        <w:gridCol w:w="1905"/>
      </w:tblGrid>
      <w:tr w:rsidR="00C3314F" w:rsidTr="00C3314F">
        <w:tc>
          <w:tcPr>
            <w:tcW w:w="2802"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Candidate </w:t>
            </w:r>
          </w:p>
        </w:tc>
        <w:tc>
          <w:tcPr>
            <w:tcW w:w="1746"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Party </w:t>
            </w:r>
          </w:p>
        </w:tc>
        <w:tc>
          <w:tcPr>
            <w:tcW w:w="2115"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Votes Counted </w:t>
            </w:r>
          </w:p>
        </w:tc>
        <w:tc>
          <w:tcPr>
            <w:tcW w:w="2114"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 Valid Votes </w:t>
            </w:r>
          </w:p>
        </w:tc>
        <w:tc>
          <w:tcPr>
            <w:tcW w:w="1905"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2CP </w:t>
            </w:r>
          </w:p>
        </w:tc>
      </w:tr>
      <w:tr w:rsidR="00C3314F" w:rsidRPr="00C3314F" w:rsidTr="00C3314F">
        <w:trPr>
          <w:gridAfter w:val="1"/>
          <w:wAfter w:w="1905" w:type="dxa"/>
          <w:trHeight w:val="132"/>
        </w:trPr>
        <w:tc>
          <w:tcPr>
            <w:tcW w:w="2802"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BARNETT, Wayne </w:t>
            </w:r>
          </w:p>
        </w:tc>
        <w:tc>
          <w:tcPr>
            <w:tcW w:w="1746"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ACP </w:t>
            </w:r>
          </w:p>
        </w:tc>
        <w:tc>
          <w:tcPr>
            <w:tcW w:w="0" w:type="auto"/>
          </w:tcPr>
          <w:p w:rsidR="00C3314F" w:rsidRPr="00C3314F" w:rsidRDefault="00C3314F">
            <w:pPr>
              <w:pStyle w:val="Pa13"/>
              <w:spacing w:before="40" w:after="100"/>
              <w:jc w:val="center"/>
              <w:rPr>
                <w:color w:val="000000"/>
                <w:sz w:val="20"/>
                <w:szCs w:val="20"/>
              </w:rPr>
            </w:pPr>
            <w:r w:rsidRPr="00C3314F">
              <w:rPr>
                <w:color w:val="000000"/>
                <w:sz w:val="20"/>
                <w:szCs w:val="20"/>
              </w:rPr>
              <w:t xml:space="preserve">686 </w:t>
            </w:r>
          </w:p>
        </w:tc>
        <w:tc>
          <w:tcPr>
            <w:tcW w:w="0" w:type="auto"/>
          </w:tcPr>
          <w:p w:rsidR="00C3314F" w:rsidRPr="00C3314F" w:rsidRDefault="00C3314F">
            <w:pPr>
              <w:pStyle w:val="Pa13"/>
              <w:spacing w:before="40" w:after="100"/>
              <w:jc w:val="center"/>
              <w:rPr>
                <w:color w:val="000000"/>
                <w:sz w:val="20"/>
                <w:szCs w:val="20"/>
              </w:rPr>
            </w:pPr>
            <w:r w:rsidRPr="00C3314F">
              <w:rPr>
                <w:color w:val="000000"/>
                <w:sz w:val="20"/>
                <w:szCs w:val="20"/>
              </w:rPr>
              <w:t xml:space="preserve">3.45% </w:t>
            </w:r>
          </w:p>
        </w:tc>
      </w:tr>
      <w:tr w:rsidR="00C3314F" w:rsidTr="00C3314F">
        <w:trPr>
          <w:trHeight w:val="132"/>
        </w:trPr>
        <w:tc>
          <w:tcPr>
            <w:tcW w:w="2802"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GORDON, Peter </w:t>
            </w:r>
          </w:p>
        </w:tc>
        <w:tc>
          <w:tcPr>
            <w:tcW w:w="1746"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NAT </w:t>
            </w:r>
          </w:p>
        </w:tc>
        <w:tc>
          <w:tcPr>
            <w:tcW w:w="0" w:type="auto"/>
          </w:tcPr>
          <w:p w:rsidR="00C3314F" w:rsidRPr="00C3314F" w:rsidRDefault="00C3314F">
            <w:pPr>
              <w:pStyle w:val="Pa13"/>
              <w:spacing w:before="40" w:after="100"/>
              <w:jc w:val="center"/>
              <w:rPr>
                <w:color w:val="000000"/>
                <w:sz w:val="20"/>
                <w:szCs w:val="20"/>
              </w:rPr>
            </w:pPr>
            <w:r w:rsidRPr="00C3314F">
              <w:rPr>
                <w:color w:val="000000"/>
                <w:sz w:val="20"/>
                <w:szCs w:val="20"/>
              </w:rPr>
              <w:t xml:space="preserve">5,656 </w:t>
            </w:r>
          </w:p>
        </w:tc>
        <w:tc>
          <w:tcPr>
            <w:tcW w:w="0" w:type="auto"/>
          </w:tcPr>
          <w:p w:rsidR="00C3314F" w:rsidRPr="00C3314F" w:rsidRDefault="00C3314F">
            <w:pPr>
              <w:pStyle w:val="Pa13"/>
              <w:spacing w:before="40" w:after="100"/>
              <w:jc w:val="center"/>
              <w:rPr>
                <w:color w:val="000000"/>
                <w:sz w:val="20"/>
                <w:szCs w:val="20"/>
              </w:rPr>
            </w:pPr>
            <w:r w:rsidRPr="00C3314F">
              <w:rPr>
                <w:color w:val="000000"/>
                <w:sz w:val="20"/>
                <w:szCs w:val="20"/>
              </w:rPr>
              <w:t xml:space="preserve">28.48% </w:t>
            </w:r>
          </w:p>
        </w:tc>
        <w:tc>
          <w:tcPr>
            <w:tcW w:w="1905"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47.00% </w:t>
            </w:r>
          </w:p>
        </w:tc>
      </w:tr>
      <w:tr w:rsidR="00C3314F" w:rsidRPr="00C3314F" w:rsidTr="00C3314F">
        <w:trPr>
          <w:gridAfter w:val="1"/>
          <w:wAfter w:w="1905" w:type="dxa"/>
          <w:trHeight w:val="132"/>
        </w:trPr>
        <w:tc>
          <w:tcPr>
            <w:tcW w:w="2802"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JOHNSON, Peter </w:t>
            </w:r>
          </w:p>
        </w:tc>
        <w:tc>
          <w:tcPr>
            <w:tcW w:w="1746"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IND </w:t>
            </w:r>
          </w:p>
        </w:tc>
        <w:tc>
          <w:tcPr>
            <w:tcW w:w="0" w:type="auto"/>
          </w:tcPr>
          <w:p w:rsidR="00C3314F" w:rsidRPr="00C3314F" w:rsidRDefault="00C3314F">
            <w:pPr>
              <w:pStyle w:val="Pa13"/>
              <w:spacing w:before="40" w:after="100"/>
              <w:jc w:val="center"/>
              <w:rPr>
                <w:color w:val="000000"/>
                <w:sz w:val="20"/>
                <w:szCs w:val="20"/>
              </w:rPr>
            </w:pPr>
            <w:r w:rsidRPr="00C3314F">
              <w:rPr>
                <w:color w:val="000000"/>
                <w:sz w:val="20"/>
                <w:szCs w:val="20"/>
              </w:rPr>
              <w:t xml:space="preserve">873 </w:t>
            </w:r>
          </w:p>
        </w:tc>
        <w:tc>
          <w:tcPr>
            <w:tcW w:w="0" w:type="auto"/>
          </w:tcPr>
          <w:p w:rsidR="00C3314F" w:rsidRPr="00C3314F" w:rsidRDefault="00C3314F">
            <w:pPr>
              <w:pStyle w:val="Pa13"/>
              <w:spacing w:before="40" w:after="100"/>
              <w:jc w:val="center"/>
              <w:rPr>
                <w:color w:val="000000"/>
                <w:sz w:val="20"/>
                <w:szCs w:val="20"/>
              </w:rPr>
            </w:pPr>
            <w:r w:rsidRPr="00C3314F">
              <w:rPr>
                <w:color w:val="000000"/>
                <w:sz w:val="20"/>
                <w:szCs w:val="20"/>
              </w:rPr>
              <w:t xml:space="preserve">4.4% </w:t>
            </w:r>
          </w:p>
        </w:tc>
      </w:tr>
      <w:tr w:rsidR="00C3314F" w:rsidTr="00C3314F">
        <w:trPr>
          <w:trHeight w:val="132"/>
        </w:trPr>
        <w:tc>
          <w:tcPr>
            <w:tcW w:w="2802"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METTAM, Libby </w:t>
            </w:r>
          </w:p>
        </w:tc>
        <w:tc>
          <w:tcPr>
            <w:tcW w:w="1746"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LIB </w:t>
            </w:r>
          </w:p>
        </w:tc>
        <w:tc>
          <w:tcPr>
            <w:tcW w:w="0" w:type="auto"/>
          </w:tcPr>
          <w:p w:rsidR="00C3314F" w:rsidRPr="00C3314F" w:rsidRDefault="00C3314F">
            <w:pPr>
              <w:pStyle w:val="Pa13"/>
              <w:spacing w:before="40" w:after="100"/>
              <w:jc w:val="center"/>
              <w:rPr>
                <w:color w:val="000000"/>
                <w:sz w:val="20"/>
                <w:szCs w:val="20"/>
              </w:rPr>
            </w:pPr>
            <w:r w:rsidRPr="00C3314F">
              <w:rPr>
                <w:color w:val="000000"/>
                <w:sz w:val="20"/>
                <w:szCs w:val="20"/>
              </w:rPr>
              <w:t xml:space="preserve">8,805 </w:t>
            </w:r>
          </w:p>
        </w:tc>
        <w:tc>
          <w:tcPr>
            <w:tcW w:w="0" w:type="auto"/>
          </w:tcPr>
          <w:p w:rsidR="00C3314F" w:rsidRPr="00C3314F" w:rsidRDefault="00C3314F">
            <w:pPr>
              <w:pStyle w:val="Pa13"/>
              <w:spacing w:before="40" w:after="100"/>
              <w:jc w:val="center"/>
              <w:rPr>
                <w:color w:val="000000"/>
                <w:sz w:val="20"/>
                <w:szCs w:val="20"/>
              </w:rPr>
            </w:pPr>
            <w:r w:rsidRPr="00C3314F">
              <w:rPr>
                <w:color w:val="000000"/>
                <w:sz w:val="20"/>
                <w:szCs w:val="20"/>
              </w:rPr>
              <w:t xml:space="preserve">44.33% </w:t>
            </w:r>
          </w:p>
        </w:tc>
        <w:tc>
          <w:tcPr>
            <w:tcW w:w="1905"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53.00% </w:t>
            </w:r>
          </w:p>
        </w:tc>
      </w:tr>
      <w:tr w:rsidR="00C3314F" w:rsidRPr="00C3314F" w:rsidTr="00C3314F">
        <w:trPr>
          <w:gridAfter w:val="1"/>
          <w:wAfter w:w="1905" w:type="dxa"/>
          <w:trHeight w:val="132"/>
        </w:trPr>
        <w:tc>
          <w:tcPr>
            <w:tcW w:w="2802"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BALDOCK, Michael </w:t>
            </w:r>
          </w:p>
        </w:tc>
        <w:tc>
          <w:tcPr>
            <w:tcW w:w="1746"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GRN </w:t>
            </w:r>
          </w:p>
        </w:tc>
        <w:tc>
          <w:tcPr>
            <w:tcW w:w="0" w:type="auto"/>
          </w:tcPr>
          <w:p w:rsidR="00C3314F" w:rsidRPr="00C3314F" w:rsidRDefault="00C3314F">
            <w:pPr>
              <w:pStyle w:val="Pa13"/>
              <w:spacing w:before="40" w:after="100"/>
              <w:jc w:val="center"/>
              <w:rPr>
                <w:color w:val="000000"/>
                <w:sz w:val="20"/>
                <w:szCs w:val="20"/>
              </w:rPr>
            </w:pPr>
            <w:r w:rsidRPr="00C3314F">
              <w:rPr>
                <w:color w:val="000000"/>
                <w:sz w:val="20"/>
                <w:szCs w:val="20"/>
              </w:rPr>
              <w:t xml:space="preserve">3,567 </w:t>
            </w:r>
          </w:p>
        </w:tc>
        <w:tc>
          <w:tcPr>
            <w:tcW w:w="0" w:type="auto"/>
          </w:tcPr>
          <w:p w:rsidR="00C3314F" w:rsidRPr="00C3314F" w:rsidRDefault="00C3314F">
            <w:pPr>
              <w:pStyle w:val="Pa13"/>
              <w:spacing w:before="40" w:after="100"/>
              <w:jc w:val="center"/>
              <w:rPr>
                <w:color w:val="000000"/>
                <w:sz w:val="20"/>
                <w:szCs w:val="20"/>
              </w:rPr>
            </w:pPr>
            <w:r w:rsidRPr="00C3314F">
              <w:rPr>
                <w:color w:val="000000"/>
                <w:sz w:val="20"/>
                <w:szCs w:val="20"/>
              </w:rPr>
              <w:t xml:space="preserve">17.96% </w:t>
            </w:r>
          </w:p>
        </w:tc>
      </w:tr>
      <w:tr w:rsidR="00C3314F" w:rsidRPr="00C3314F" w:rsidTr="00C3314F">
        <w:trPr>
          <w:gridAfter w:val="1"/>
          <w:wAfter w:w="1905" w:type="dxa"/>
          <w:trHeight w:val="132"/>
        </w:trPr>
        <w:tc>
          <w:tcPr>
            <w:tcW w:w="2802"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VAN LIESHOUT, Teresa </w:t>
            </w:r>
          </w:p>
        </w:tc>
        <w:tc>
          <w:tcPr>
            <w:tcW w:w="1746" w:type="dxa"/>
          </w:tcPr>
          <w:p w:rsidR="00C3314F" w:rsidRPr="00C3314F" w:rsidRDefault="00C3314F">
            <w:pPr>
              <w:pStyle w:val="Pa13"/>
              <w:spacing w:before="40" w:after="100"/>
              <w:jc w:val="center"/>
              <w:rPr>
                <w:color w:val="000000"/>
                <w:sz w:val="20"/>
                <w:szCs w:val="20"/>
              </w:rPr>
            </w:pPr>
            <w:r w:rsidRPr="00C3314F">
              <w:rPr>
                <w:color w:val="000000"/>
                <w:sz w:val="20"/>
                <w:szCs w:val="20"/>
              </w:rPr>
              <w:t xml:space="preserve">IND </w:t>
            </w:r>
          </w:p>
        </w:tc>
        <w:tc>
          <w:tcPr>
            <w:tcW w:w="0" w:type="auto"/>
            <w:tcBorders>
              <w:bottom w:val="single" w:sz="4" w:space="0" w:color="auto"/>
            </w:tcBorders>
          </w:tcPr>
          <w:p w:rsidR="00C3314F" w:rsidRPr="00C3314F" w:rsidRDefault="00C3314F">
            <w:pPr>
              <w:pStyle w:val="Pa13"/>
              <w:spacing w:before="40" w:after="100"/>
              <w:jc w:val="center"/>
              <w:rPr>
                <w:color w:val="000000"/>
                <w:sz w:val="20"/>
                <w:szCs w:val="20"/>
              </w:rPr>
            </w:pPr>
            <w:r w:rsidRPr="00C3314F">
              <w:rPr>
                <w:color w:val="000000"/>
                <w:sz w:val="20"/>
                <w:szCs w:val="20"/>
              </w:rPr>
              <w:t xml:space="preserve">274 </w:t>
            </w:r>
          </w:p>
        </w:tc>
        <w:tc>
          <w:tcPr>
            <w:tcW w:w="0" w:type="auto"/>
            <w:tcBorders>
              <w:bottom w:val="single" w:sz="6" w:space="0" w:color="auto"/>
            </w:tcBorders>
          </w:tcPr>
          <w:p w:rsidR="00C3314F" w:rsidRPr="00C3314F" w:rsidRDefault="00C3314F">
            <w:pPr>
              <w:pStyle w:val="Pa13"/>
              <w:spacing w:before="40" w:after="100"/>
              <w:jc w:val="center"/>
              <w:rPr>
                <w:color w:val="000000"/>
                <w:sz w:val="20"/>
                <w:szCs w:val="20"/>
              </w:rPr>
            </w:pPr>
            <w:r w:rsidRPr="00C3314F">
              <w:rPr>
                <w:color w:val="000000"/>
                <w:sz w:val="20"/>
                <w:szCs w:val="20"/>
              </w:rPr>
              <w:t xml:space="preserve">1.38% </w:t>
            </w:r>
          </w:p>
        </w:tc>
      </w:tr>
      <w:tr w:rsidR="00C3314F" w:rsidRPr="00C3314F" w:rsidTr="00C3314F">
        <w:trPr>
          <w:gridAfter w:val="1"/>
          <w:wAfter w:w="1905" w:type="dxa"/>
          <w:trHeight w:val="132"/>
        </w:trPr>
        <w:tc>
          <w:tcPr>
            <w:tcW w:w="4548" w:type="dxa"/>
            <w:gridSpan w:val="2"/>
          </w:tcPr>
          <w:p w:rsidR="00C3314F" w:rsidRDefault="00C3314F">
            <w:pPr>
              <w:pStyle w:val="Pa10"/>
              <w:spacing w:before="40" w:after="100"/>
              <w:jc w:val="right"/>
              <w:rPr>
                <w:color w:val="000000"/>
                <w:sz w:val="19"/>
                <w:szCs w:val="19"/>
              </w:rPr>
            </w:pPr>
            <w:r>
              <w:rPr>
                <w:color w:val="000000"/>
                <w:sz w:val="19"/>
                <w:szCs w:val="19"/>
              </w:rPr>
              <w:t xml:space="preserve">Total Valid Votes </w:t>
            </w:r>
          </w:p>
        </w:tc>
        <w:tc>
          <w:tcPr>
            <w:tcW w:w="0" w:type="auto"/>
            <w:tcBorders>
              <w:right w:val="single" w:sz="6" w:space="0" w:color="auto"/>
            </w:tcBorders>
          </w:tcPr>
          <w:p w:rsidR="00C3314F" w:rsidRDefault="00C3314F">
            <w:pPr>
              <w:pStyle w:val="Pa13"/>
              <w:spacing w:before="40" w:after="100"/>
              <w:jc w:val="center"/>
              <w:rPr>
                <w:color w:val="000000"/>
                <w:sz w:val="19"/>
                <w:szCs w:val="19"/>
              </w:rPr>
            </w:pPr>
            <w:r>
              <w:rPr>
                <w:color w:val="000000"/>
                <w:sz w:val="19"/>
                <w:szCs w:val="19"/>
              </w:rPr>
              <w:t xml:space="preserve">19,861 </w:t>
            </w:r>
          </w:p>
        </w:tc>
        <w:tc>
          <w:tcPr>
            <w:tcW w:w="0" w:type="auto"/>
            <w:tcBorders>
              <w:top w:val="single" w:sz="6" w:space="0" w:color="auto"/>
              <w:left w:val="single" w:sz="6" w:space="0" w:color="auto"/>
              <w:bottom w:val="nil"/>
              <w:right w:val="nil"/>
            </w:tcBorders>
          </w:tcPr>
          <w:p w:rsidR="00C3314F" w:rsidRPr="00C3314F" w:rsidRDefault="00C3314F">
            <w:pPr>
              <w:pStyle w:val="Pa13"/>
              <w:spacing w:before="40" w:after="100"/>
              <w:jc w:val="center"/>
              <w:rPr>
                <w:color w:val="000000"/>
                <w:sz w:val="20"/>
                <w:szCs w:val="20"/>
              </w:rPr>
            </w:pPr>
          </w:p>
        </w:tc>
      </w:tr>
      <w:tr w:rsidR="00C3314F" w:rsidRPr="00C3314F" w:rsidTr="00C3314F">
        <w:trPr>
          <w:gridAfter w:val="1"/>
          <w:wAfter w:w="1905" w:type="dxa"/>
          <w:trHeight w:val="132"/>
        </w:trPr>
        <w:tc>
          <w:tcPr>
            <w:tcW w:w="4548" w:type="dxa"/>
            <w:gridSpan w:val="2"/>
          </w:tcPr>
          <w:p w:rsidR="00C3314F" w:rsidRDefault="00C3314F">
            <w:pPr>
              <w:pStyle w:val="Pa10"/>
              <w:spacing w:before="40" w:after="100"/>
              <w:jc w:val="right"/>
              <w:rPr>
                <w:color w:val="000000"/>
                <w:sz w:val="19"/>
                <w:szCs w:val="19"/>
              </w:rPr>
            </w:pPr>
            <w:r>
              <w:rPr>
                <w:color w:val="000000"/>
                <w:sz w:val="19"/>
                <w:szCs w:val="19"/>
              </w:rPr>
              <w:t xml:space="preserve">Informal </w:t>
            </w:r>
          </w:p>
        </w:tc>
        <w:tc>
          <w:tcPr>
            <w:tcW w:w="0" w:type="auto"/>
            <w:tcBorders>
              <w:right w:val="single" w:sz="6" w:space="0" w:color="auto"/>
            </w:tcBorders>
          </w:tcPr>
          <w:p w:rsidR="00C3314F" w:rsidRDefault="00C3314F">
            <w:pPr>
              <w:pStyle w:val="Pa13"/>
              <w:spacing w:before="40" w:after="100"/>
              <w:jc w:val="center"/>
              <w:rPr>
                <w:color w:val="000000"/>
                <w:sz w:val="19"/>
                <w:szCs w:val="19"/>
              </w:rPr>
            </w:pPr>
            <w:r>
              <w:rPr>
                <w:color w:val="000000"/>
                <w:sz w:val="19"/>
                <w:szCs w:val="19"/>
              </w:rPr>
              <w:t xml:space="preserve">569 </w:t>
            </w:r>
          </w:p>
        </w:tc>
        <w:tc>
          <w:tcPr>
            <w:tcW w:w="0" w:type="auto"/>
            <w:tcBorders>
              <w:top w:val="nil"/>
              <w:left w:val="single" w:sz="6" w:space="0" w:color="auto"/>
              <w:bottom w:val="nil"/>
              <w:right w:val="nil"/>
            </w:tcBorders>
          </w:tcPr>
          <w:p w:rsidR="00C3314F" w:rsidRPr="00C3314F" w:rsidRDefault="00C3314F">
            <w:pPr>
              <w:pStyle w:val="Pa13"/>
              <w:spacing w:before="40" w:after="100"/>
              <w:jc w:val="center"/>
              <w:rPr>
                <w:color w:val="000000"/>
                <w:sz w:val="20"/>
                <w:szCs w:val="20"/>
              </w:rPr>
            </w:pPr>
          </w:p>
        </w:tc>
      </w:tr>
      <w:tr w:rsidR="00C3314F" w:rsidRPr="00C3314F" w:rsidTr="00C3314F">
        <w:trPr>
          <w:gridAfter w:val="1"/>
          <w:wAfter w:w="1905" w:type="dxa"/>
          <w:trHeight w:val="132"/>
        </w:trPr>
        <w:tc>
          <w:tcPr>
            <w:tcW w:w="4548" w:type="dxa"/>
            <w:gridSpan w:val="2"/>
          </w:tcPr>
          <w:p w:rsidR="00C3314F" w:rsidRDefault="00C3314F">
            <w:pPr>
              <w:pStyle w:val="Pa10"/>
              <w:spacing w:before="40" w:after="100"/>
              <w:jc w:val="right"/>
              <w:rPr>
                <w:color w:val="000000"/>
                <w:sz w:val="19"/>
                <w:szCs w:val="19"/>
              </w:rPr>
            </w:pPr>
            <w:r>
              <w:rPr>
                <w:color w:val="000000"/>
                <w:sz w:val="19"/>
                <w:szCs w:val="19"/>
              </w:rPr>
              <w:t xml:space="preserve">Total </w:t>
            </w:r>
          </w:p>
        </w:tc>
        <w:tc>
          <w:tcPr>
            <w:tcW w:w="0" w:type="auto"/>
            <w:tcBorders>
              <w:right w:val="single" w:sz="6" w:space="0" w:color="auto"/>
            </w:tcBorders>
          </w:tcPr>
          <w:p w:rsidR="00C3314F" w:rsidRDefault="00C3314F">
            <w:pPr>
              <w:pStyle w:val="Pa13"/>
              <w:spacing w:before="40" w:after="100"/>
              <w:jc w:val="center"/>
              <w:rPr>
                <w:color w:val="000000"/>
                <w:sz w:val="19"/>
                <w:szCs w:val="19"/>
              </w:rPr>
            </w:pPr>
            <w:r>
              <w:rPr>
                <w:color w:val="000000"/>
                <w:sz w:val="19"/>
                <w:szCs w:val="19"/>
              </w:rPr>
              <w:t xml:space="preserve">20,430 </w:t>
            </w:r>
          </w:p>
        </w:tc>
        <w:tc>
          <w:tcPr>
            <w:tcW w:w="0" w:type="auto"/>
            <w:tcBorders>
              <w:top w:val="nil"/>
              <w:left w:val="single" w:sz="6" w:space="0" w:color="auto"/>
              <w:bottom w:val="nil"/>
              <w:right w:val="nil"/>
            </w:tcBorders>
          </w:tcPr>
          <w:p w:rsidR="00C3314F" w:rsidRPr="00C3314F" w:rsidRDefault="00C3314F">
            <w:pPr>
              <w:pStyle w:val="Pa13"/>
              <w:spacing w:before="40" w:after="100"/>
              <w:jc w:val="center"/>
              <w:rPr>
                <w:color w:val="000000"/>
                <w:sz w:val="20"/>
                <w:szCs w:val="20"/>
              </w:rPr>
            </w:pPr>
          </w:p>
        </w:tc>
      </w:tr>
    </w:tbl>
    <w:p w:rsidR="00C3314F" w:rsidRPr="00050291" w:rsidRDefault="00C3314F" w:rsidP="009156D8">
      <w:pPr>
        <w:pStyle w:val="Default"/>
        <w:spacing w:before="120"/>
        <w:rPr>
          <w:color w:val="auto"/>
          <w:sz w:val="20"/>
          <w:szCs w:val="20"/>
        </w:rPr>
      </w:pPr>
      <w:r w:rsidRPr="00050291">
        <w:rPr>
          <w:color w:val="auto"/>
          <w:sz w:val="20"/>
          <w:szCs w:val="20"/>
        </w:rPr>
        <w:t xml:space="preserve">A re-count for the North Metropolitan Region of the Legislative Council on 1 April 2015 resulted in the election of Mr Martin Pritchard representing WA </w:t>
      </w:r>
      <w:proofErr w:type="spellStart"/>
      <w:r w:rsidRPr="00050291">
        <w:rPr>
          <w:color w:val="auto"/>
          <w:sz w:val="20"/>
          <w:szCs w:val="20"/>
        </w:rPr>
        <w:t>Labor</w:t>
      </w:r>
      <w:proofErr w:type="spellEnd"/>
      <w:r w:rsidRPr="00050291">
        <w:rPr>
          <w:color w:val="auto"/>
          <w:sz w:val="20"/>
          <w:szCs w:val="20"/>
        </w:rPr>
        <w:t xml:space="preserve">. The re-count was necessary as the Honourable </w:t>
      </w:r>
      <w:proofErr w:type="spellStart"/>
      <w:r w:rsidRPr="00050291">
        <w:rPr>
          <w:color w:val="auto"/>
          <w:sz w:val="20"/>
          <w:szCs w:val="20"/>
        </w:rPr>
        <w:t>Ljiljanna</w:t>
      </w:r>
      <w:proofErr w:type="spellEnd"/>
      <w:r w:rsidRPr="00050291">
        <w:rPr>
          <w:color w:val="auto"/>
          <w:sz w:val="20"/>
          <w:szCs w:val="20"/>
        </w:rPr>
        <w:t xml:space="preserve"> </w:t>
      </w:r>
      <w:proofErr w:type="spellStart"/>
      <w:r w:rsidRPr="00050291">
        <w:rPr>
          <w:color w:val="auto"/>
          <w:sz w:val="20"/>
          <w:szCs w:val="20"/>
        </w:rPr>
        <w:t>Ravlich</w:t>
      </w:r>
      <w:proofErr w:type="spellEnd"/>
      <w:r w:rsidRPr="00050291">
        <w:rPr>
          <w:color w:val="auto"/>
          <w:sz w:val="20"/>
          <w:szCs w:val="20"/>
        </w:rPr>
        <w:t xml:space="preserve"> MLC, Member for the North Metropolitan Region, had resigned and her position consequently became vacant. </w:t>
      </w:r>
    </w:p>
    <w:p w:rsidR="00C3314F" w:rsidRPr="00050291" w:rsidRDefault="00C3314F" w:rsidP="009156D8">
      <w:pPr>
        <w:pStyle w:val="Pa1"/>
        <w:spacing w:line="240" w:lineRule="auto"/>
        <w:rPr>
          <w:sz w:val="20"/>
          <w:szCs w:val="20"/>
        </w:rPr>
      </w:pPr>
      <w:r w:rsidRPr="00050291">
        <w:rPr>
          <w:sz w:val="20"/>
          <w:szCs w:val="20"/>
        </w:rPr>
        <w:t xml:space="preserve">In September 2014 the Local Government Advisory Board released its report on Metropolitan Local Government Reform (Metropolitan Local Government District Inquiries Report.) In this report it was recommended that six local governments be amalgamated into three: </w:t>
      </w:r>
    </w:p>
    <w:p w:rsidR="00C3314F" w:rsidRPr="00050291" w:rsidRDefault="00C3314F" w:rsidP="009156D8">
      <w:pPr>
        <w:pStyle w:val="Pa14"/>
        <w:spacing w:before="120" w:line="240" w:lineRule="auto"/>
        <w:ind w:left="278"/>
        <w:rPr>
          <w:sz w:val="20"/>
          <w:szCs w:val="20"/>
        </w:rPr>
      </w:pPr>
      <w:r w:rsidRPr="00050291">
        <w:rPr>
          <w:rStyle w:val="A22"/>
          <w:b w:val="0"/>
          <w:bCs w:val="0"/>
          <w:color w:val="auto"/>
          <w:sz w:val="20"/>
          <w:szCs w:val="20"/>
        </w:rPr>
        <w:t>»</w:t>
      </w:r>
      <w:r w:rsidR="009156D8" w:rsidRPr="00050291">
        <w:rPr>
          <w:rStyle w:val="A22"/>
          <w:color w:val="auto"/>
          <w:sz w:val="20"/>
          <w:szCs w:val="20"/>
        </w:rPr>
        <w:tab/>
      </w:r>
      <w:r w:rsidRPr="00050291">
        <w:rPr>
          <w:sz w:val="20"/>
          <w:szCs w:val="20"/>
        </w:rPr>
        <w:t xml:space="preserve">City of South Perth and Town of Victoria Park to form the City of South Park </w:t>
      </w:r>
    </w:p>
    <w:p w:rsidR="009156D8" w:rsidRPr="00050291" w:rsidRDefault="00C3314F" w:rsidP="009156D8">
      <w:pPr>
        <w:pStyle w:val="Pa14"/>
        <w:spacing w:line="240" w:lineRule="auto"/>
        <w:ind w:left="280"/>
        <w:rPr>
          <w:sz w:val="20"/>
          <w:szCs w:val="20"/>
        </w:rPr>
      </w:pPr>
      <w:r w:rsidRPr="00050291">
        <w:rPr>
          <w:rStyle w:val="A22"/>
          <w:b w:val="0"/>
          <w:bCs w:val="0"/>
          <w:color w:val="auto"/>
          <w:sz w:val="20"/>
          <w:szCs w:val="20"/>
        </w:rPr>
        <w:t>»</w:t>
      </w:r>
      <w:r w:rsidR="009156D8" w:rsidRPr="00050291">
        <w:rPr>
          <w:rStyle w:val="A22"/>
          <w:color w:val="auto"/>
          <w:sz w:val="20"/>
          <w:szCs w:val="20"/>
        </w:rPr>
        <w:tab/>
      </w:r>
      <w:r w:rsidRPr="00050291">
        <w:rPr>
          <w:sz w:val="20"/>
          <w:szCs w:val="20"/>
        </w:rPr>
        <w:t>City of Fremantle and Town of East Fremantle</w:t>
      </w:r>
      <w:r w:rsidR="009156D8" w:rsidRPr="00050291">
        <w:rPr>
          <w:sz w:val="20"/>
          <w:szCs w:val="20"/>
        </w:rPr>
        <w:t xml:space="preserve"> to form the City of Fremantle </w:t>
      </w:r>
    </w:p>
    <w:p w:rsidR="009156D8" w:rsidRPr="00050291" w:rsidRDefault="00C3314F" w:rsidP="009156D8">
      <w:pPr>
        <w:pStyle w:val="Pa14"/>
        <w:spacing w:line="240" w:lineRule="auto"/>
        <w:ind w:left="280"/>
        <w:rPr>
          <w:sz w:val="20"/>
          <w:szCs w:val="20"/>
        </w:rPr>
      </w:pPr>
      <w:r w:rsidRPr="00050291">
        <w:rPr>
          <w:rStyle w:val="A22"/>
          <w:b w:val="0"/>
          <w:bCs w:val="0"/>
          <w:color w:val="auto"/>
          <w:sz w:val="20"/>
          <w:szCs w:val="20"/>
        </w:rPr>
        <w:t>»</w:t>
      </w:r>
      <w:r w:rsidR="009156D8" w:rsidRPr="00050291">
        <w:rPr>
          <w:rStyle w:val="A22"/>
          <w:color w:val="auto"/>
          <w:sz w:val="20"/>
          <w:szCs w:val="20"/>
        </w:rPr>
        <w:tab/>
      </w:r>
      <w:r w:rsidRPr="00050291">
        <w:rPr>
          <w:sz w:val="20"/>
          <w:szCs w:val="20"/>
        </w:rPr>
        <w:t xml:space="preserve">City of Kwinana and City of Cockburn to form the City of </w:t>
      </w:r>
      <w:proofErr w:type="spellStart"/>
      <w:r w:rsidRPr="00050291">
        <w:rPr>
          <w:sz w:val="20"/>
          <w:szCs w:val="20"/>
        </w:rPr>
        <w:t>Jervoise</w:t>
      </w:r>
      <w:proofErr w:type="spellEnd"/>
      <w:r w:rsidRPr="00050291">
        <w:rPr>
          <w:sz w:val="20"/>
          <w:szCs w:val="20"/>
        </w:rPr>
        <w:t xml:space="preserve"> Bay</w:t>
      </w:r>
    </w:p>
    <w:p w:rsidR="009156D8" w:rsidRPr="00050291" w:rsidRDefault="009156D8" w:rsidP="009156D8">
      <w:pPr>
        <w:pStyle w:val="Pa14"/>
        <w:spacing w:line="240" w:lineRule="auto"/>
        <w:rPr>
          <w:b/>
          <w:bCs/>
          <w:sz w:val="20"/>
          <w:szCs w:val="20"/>
        </w:rPr>
      </w:pPr>
    </w:p>
    <w:p w:rsidR="009156D8" w:rsidRPr="00050291" w:rsidRDefault="009156D8" w:rsidP="009156D8">
      <w:pPr>
        <w:pStyle w:val="Pa14"/>
        <w:spacing w:line="240" w:lineRule="auto"/>
        <w:rPr>
          <w:bCs/>
          <w:sz w:val="20"/>
          <w:szCs w:val="20"/>
        </w:rPr>
      </w:pPr>
      <w:r w:rsidRPr="00050291">
        <w:rPr>
          <w:bCs/>
          <w:sz w:val="20"/>
          <w:szCs w:val="20"/>
        </w:rPr>
        <w:t xml:space="preserve">The results, as set out in the following table, led the Minister for Local government to reject the proposed amalgamations. </w:t>
      </w:r>
    </w:p>
    <w:p w:rsidR="009156D8" w:rsidRDefault="009156D8" w:rsidP="009156D8">
      <w:pPr>
        <w:pStyle w:val="Pa14"/>
        <w:spacing w:line="240" w:lineRule="auto"/>
        <w:rPr>
          <w:bCs/>
          <w:color w:val="404040" w:themeColor="text1" w:themeTint="B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2136"/>
        <w:gridCol w:w="2136"/>
        <w:gridCol w:w="2137"/>
        <w:gridCol w:w="2137"/>
      </w:tblGrid>
      <w:tr w:rsidR="009156D8" w:rsidTr="00271B0D">
        <w:tc>
          <w:tcPr>
            <w:tcW w:w="2136" w:type="dxa"/>
            <w:vAlign w:val="center"/>
          </w:tcPr>
          <w:p w:rsidR="009156D8" w:rsidRDefault="009156D8" w:rsidP="00271B0D">
            <w:pPr>
              <w:pStyle w:val="Pa13"/>
              <w:spacing w:before="60" w:after="60" w:line="240" w:lineRule="auto"/>
              <w:jc w:val="center"/>
              <w:rPr>
                <w:color w:val="000000"/>
                <w:sz w:val="19"/>
                <w:szCs w:val="19"/>
              </w:rPr>
            </w:pPr>
            <w:r>
              <w:rPr>
                <w:color w:val="000000"/>
                <w:sz w:val="19"/>
                <w:szCs w:val="19"/>
              </w:rPr>
              <w:t>City/Town</w:t>
            </w:r>
          </w:p>
        </w:tc>
        <w:tc>
          <w:tcPr>
            <w:tcW w:w="2136" w:type="dxa"/>
            <w:vAlign w:val="center"/>
          </w:tcPr>
          <w:p w:rsidR="009156D8" w:rsidRDefault="009156D8" w:rsidP="00271B0D">
            <w:pPr>
              <w:pStyle w:val="Pa13"/>
              <w:spacing w:before="60" w:after="60" w:line="240" w:lineRule="auto"/>
              <w:jc w:val="center"/>
              <w:rPr>
                <w:color w:val="000000"/>
                <w:sz w:val="19"/>
                <w:szCs w:val="19"/>
              </w:rPr>
            </w:pPr>
            <w:r>
              <w:rPr>
                <w:color w:val="000000"/>
                <w:sz w:val="19"/>
                <w:szCs w:val="19"/>
              </w:rPr>
              <w:t>Participation Rate</w:t>
            </w:r>
          </w:p>
        </w:tc>
        <w:tc>
          <w:tcPr>
            <w:tcW w:w="2136" w:type="dxa"/>
            <w:vAlign w:val="center"/>
          </w:tcPr>
          <w:p w:rsidR="009156D8" w:rsidRDefault="009156D8" w:rsidP="00271B0D">
            <w:pPr>
              <w:pStyle w:val="Pa13"/>
              <w:spacing w:before="60" w:after="60" w:line="240" w:lineRule="auto"/>
              <w:jc w:val="center"/>
              <w:rPr>
                <w:color w:val="000000"/>
                <w:sz w:val="19"/>
                <w:szCs w:val="19"/>
              </w:rPr>
            </w:pPr>
            <w:r>
              <w:rPr>
                <w:color w:val="000000"/>
                <w:sz w:val="19"/>
                <w:szCs w:val="19"/>
              </w:rPr>
              <w:t>Yes</w:t>
            </w:r>
          </w:p>
        </w:tc>
        <w:tc>
          <w:tcPr>
            <w:tcW w:w="2137" w:type="dxa"/>
            <w:vAlign w:val="center"/>
          </w:tcPr>
          <w:p w:rsidR="009156D8" w:rsidRDefault="009156D8" w:rsidP="00271B0D">
            <w:pPr>
              <w:pStyle w:val="Pa13"/>
              <w:spacing w:before="60" w:after="60" w:line="240" w:lineRule="auto"/>
              <w:jc w:val="center"/>
              <w:rPr>
                <w:color w:val="000000"/>
                <w:sz w:val="19"/>
                <w:szCs w:val="19"/>
              </w:rPr>
            </w:pPr>
            <w:r>
              <w:rPr>
                <w:color w:val="000000"/>
                <w:sz w:val="19"/>
                <w:szCs w:val="19"/>
              </w:rPr>
              <w:t>No</w:t>
            </w:r>
          </w:p>
        </w:tc>
        <w:tc>
          <w:tcPr>
            <w:tcW w:w="2137" w:type="dxa"/>
            <w:vAlign w:val="center"/>
          </w:tcPr>
          <w:p w:rsidR="009156D8" w:rsidRDefault="009156D8" w:rsidP="00271B0D">
            <w:pPr>
              <w:pStyle w:val="Pa13"/>
              <w:spacing w:before="60" w:after="60" w:line="240" w:lineRule="auto"/>
              <w:jc w:val="center"/>
              <w:rPr>
                <w:color w:val="000000"/>
                <w:sz w:val="19"/>
                <w:szCs w:val="19"/>
              </w:rPr>
            </w:pPr>
            <w:r>
              <w:rPr>
                <w:color w:val="000000"/>
                <w:sz w:val="19"/>
                <w:szCs w:val="19"/>
              </w:rPr>
              <w:t>Result</w:t>
            </w:r>
          </w:p>
        </w:tc>
      </w:tr>
      <w:tr w:rsidR="009156D8" w:rsidTr="00271B0D">
        <w:tc>
          <w:tcPr>
            <w:tcW w:w="2136" w:type="dxa"/>
            <w:vAlign w:val="center"/>
          </w:tcPr>
          <w:p w:rsidR="009156D8" w:rsidRDefault="009156D8" w:rsidP="00271B0D">
            <w:pPr>
              <w:pStyle w:val="Pa13"/>
              <w:spacing w:before="40" w:after="100" w:line="240" w:lineRule="auto"/>
              <w:rPr>
                <w:color w:val="000000"/>
                <w:sz w:val="19"/>
                <w:szCs w:val="19"/>
              </w:rPr>
            </w:pPr>
            <w:r>
              <w:rPr>
                <w:color w:val="000000"/>
                <w:sz w:val="19"/>
                <w:szCs w:val="19"/>
              </w:rPr>
              <w:t>City of Cockburn</w:t>
            </w:r>
          </w:p>
        </w:tc>
        <w:tc>
          <w:tcPr>
            <w:tcW w:w="2136"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38.1%</w:t>
            </w:r>
          </w:p>
        </w:tc>
        <w:tc>
          <w:tcPr>
            <w:tcW w:w="2136"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16.7%</w:t>
            </w:r>
          </w:p>
        </w:tc>
        <w:tc>
          <w:tcPr>
            <w:tcW w:w="2137"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83.3%</w:t>
            </w:r>
          </w:p>
        </w:tc>
        <w:tc>
          <w:tcPr>
            <w:tcW w:w="2137"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Recommendation Rejected</w:t>
            </w:r>
          </w:p>
        </w:tc>
      </w:tr>
      <w:tr w:rsidR="009156D8" w:rsidTr="00271B0D">
        <w:tc>
          <w:tcPr>
            <w:tcW w:w="2136" w:type="dxa"/>
            <w:vAlign w:val="center"/>
          </w:tcPr>
          <w:p w:rsidR="009156D8" w:rsidRDefault="009156D8" w:rsidP="00271B0D">
            <w:pPr>
              <w:pStyle w:val="Pa13"/>
              <w:spacing w:before="40" w:after="100" w:line="240" w:lineRule="auto"/>
              <w:rPr>
                <w:color w:val="000000"/>
                <w:sz w:val="19"/>
                <w:szCs w:val="19"/>
              </w:rPr>
            </w:pPr>
            <w:r>
              <w:rPr>
                <w:color w:val="000000"/>
                <w:sz w:val="19"/>
                <w:szCs w:val="19"/>
              </w:rPr>
              <w:t>City of Kwinana</w:t>
            </w:r>
          </w:p>
        </w:tc>
        <w:tc>
          <w:tcPr>
            <w:tcW w:w="2136"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55.4%</w:t>
            </w:r>
          </w:p>
        </w:tc>
        <w:tc>
          <w:tcPr>
            <w:tcW w:w="2136"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12.0%</w:t>
            </w:r>
          </w:p>
        </w:tc>
        <w:tc>
          <w:tcPr>
            <w:tcW w:w="2137"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88.0%</w:t>
            </w:r>
          </w:p>
        </w:tc>
        <w:tc>
          <w:tcPr>
            <w:tcW w:w="2137"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Recommendation Rejected</w:t>
            </w:r>
          </w:p>
        </w:tc>
      </w:tr>
      <w:tr w:rsidR="009156D8" w:rsidTr="00271B0D">
        <w:tc>
          <w:tcPr>
            <w:tcW w:w="2136" w:type="dxa"/>
            <w:vAlign w:val="center"/>
          </w:tcPr>
          <w:p w:rsidR="009156D8" w:rsidRDefault="009156D8" w:rsidP="00271B0D">
            <w:pPr>
              <w:pStyle w:val="Pa13"/>
              <w:spacing w:before="40" w:after="100" w:line="240" w:lineRule="auto"/>
              <w:rPr>
                <w:color w:val="000000"/>
                <w:sz w:val="19"/>
                <w:szCs w:val="19"/>
              </w:rPr>
            </w:pPr>
            <w:r>
              <w:rPr>
                <w:color w:val="000000"/>
                <w:sz w:val="19"/>
                <w:szCs w:val="19"/>
              </w:rPr>
              <w:t>City of South Perth</w:t>
            </w:r>
          </w:p>
        </w:tc>
        <w:tc>
          <w:tcPr>
            <w:tcW w:w="2136"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52.9%</w:t>
            </w:r>
          </w:p>
        </w:tc>
        <w:tc>
          <w:tcPr>
            <w:tcW w:w="2136"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22.3%</w:t>
            </w:r>
          </w:p>
        </w:tc>
        <w:tc>
          <w:tcPr>
            <w:tcW w:w="2137"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77.7%</w:t>
            </w:r>
          </w:p>
        </w:tc>
        <w:tc>
          <w:tcPr>
            <w:tcW w:w="2137"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Recommendation Rejected</w:t>
            </w:r>
          </w:p>
        </w:tc>
      </w:tr>
      <w:tr w:rsidR="009156D8" w:rsidTr="00271B0D">
        <w:tc>
          <w:tcPr>
            <w:tcW w:w="2136" w:type="dxa"/>
            <w:vAlign w:val="center"/>
          </w:tcPr>
          <w:p w:rsidR="009156D8" w:rsidRDefault="009156D8" w:rsidP="00271B0D">
            <w:pPr>
              <w:pStyle w:val="Pa13"/>
              <w:spacing w:line="240" w:lineRule="auto"/>
              <w:rPr>
                <w:color w:val="000000"/>
                <w:sz w:val="19"/>
                <w:szCs w:val="19"/>
              </w:rPr>
            </w:pPr>
            <w:r>
              <w:rPr>
                <w:color w:val="000000"/>
                <w:sz w:val="19"/>
                <w:szCs w:val="19"/>
              </w:rPr>
              <w:t>Town of East Fremantle</w:t>
            </w:r>
          </w:p>
        </w:tc>
        <w:tc>
          <w:tcPr>
            <w:tcW w:w="2136"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56.7%</w:t>
            </w:r>
          </w:p>
        </w:tc>
        <w:tc>
          <w:tcPr>
            <w:tcW w:w="2136"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24.0%</w:t>
            </w:r>
          </w:p>
        </w:tc>
        <w:tc>
          <w:tcPr>
            <w:tcW w:w="2137"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76.0%</w:t>
            </w:r>
          </w:p>
        </w:tc>
        <w:tc>
          <w:tcPr>
            <w:tcW w:w="2137"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Recommendation Rejected</w:t>
            </w:r>
          </w:p>
        </w:tc>
      </w:tr>
      <w:tr w:rsidR="009156D8" w:rsidTr="00271B0D">
        <w:tc>
          <w:tcPr>
            <w:tcW w:w="2136" w:type="dxa"/>
            <w:vAlign w:val="center"/>
          </w:tcPr>
          <w:p w:rsidR="009156D8" w:rsidRDefault="009156D8" w:rsidP="00271B0D">
            <w:pPr>
              <w:pStyle w:val="Pa13"/>
              <w:spacing w:before="40" w:after="100" w:line="240" w:lineRule="auto"/>
              <w:rPr>
                <w:color w:val="000000"/>
                <w:sz w:val="19"/>
                <w:szCs w:val="19"/>
              </w:rPr>
            </w:pPr>
            <w:r>
              <w:rPr>
                <w:color w:val="000000"/>
                <w:sz w:val="19"/>
                <w:szCs w:val="19"/>
              </w:rPr>
              <w:t>Town of Victoria Park</w:t>
            </w:r>
          </w:p>
        </w:tc>
        <w:tc>
          <w:tcPr>
            <w:tcW w:w="2136"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39.8%</w:t>
            </w:r>
          </w:p>
        </w:tc>
        <w:tc>
          <w:tcPr>
            <w:tcW w:w="2136"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38.4%</w:t>
            </w:r>
          </w:p>
        </w:tc>
        <w:tc>
          <w:tcPr>
            <w:tcW w:w="2137"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61.6%</w:t>
            </w:r>
          </w:p>
        </w:tc>
        <w:tc>
          <w:tcPr>
            <w:tcW w:w="2137" w:type="dxa"/>
            <w:vAlign w:val="center"/>
          </w:tcPr>
          <w:p w:rsidR="009156D8" w:rsidRPr="00050291" w:rsidRDefault="009156D8" w:rsidP="00271B0D">
            <w:pPr>
              <w:pStyle w:val="Pa13"/>
              <w:spacing w:before="40" w:after="100" w:line="240" w:lineRule="auto"/>
              <w:jc w:val="center"/>
              <w:rPr>
                <w:sz w:val="19"/>
                <w:szCs w:val="19"/>
              </w:rPr>
            </w:pPr>
            <w:r w:rsidRPr="00050291">
              <w:rPr>
                <w:sz w:val="19"/>
                <w:szCs w:val="19"/>
              </w:rPr>
              <w:t>Recommendation Rejected</w:t>
            </w:r>
          </w:p>
        </w:tc>
      </w:tr>
    </w:tbl>
    <w:p w:rsidR="009156D8" w:rsidRDefault="009156D8" w:rsidP="009156D8">
      <w:pPr>
        <w:pStyle w:val="Pa14"/>
        <w:spacing w:line="240" w:lineRule="auto"/>
        <w:rPr>
          <w:bCs/>
          <w:color w:val="404040" w:themeColor="text1" w:themeTint="BF"/>
          <w:sz w:val="20"/>
          <w:szCs w:val="20"/>
        </w:rPr>
      </w:pPr>
    </w:p>
    <w:p w:rsidR="009156D8" w:rsidRPr="00050291" w:rsidRDefault="009156D8" w:rsidP="009156D8">
      <w:pPr>
        <w:pStyle w:val="Default"/>
        <w:spacing w:before="40" w:after="100" w:line="191" w:lineRule="atLeast"/>
        <w:rPr>
          <w:color w:val="auto"/>
          <w:sz w:val="20"/>
          <w:szCs w:val="20"/>
        </w:rPr>
      </w:pPr>
      <w:r w:rsidRPr="00050291">
        <w:rPr>
          <w:color w:val="auto"/>
          <w:sz w:val="20"/>
          <w:szCs w:val="20"/>
        </w:rPr>
        <w:lastRenderedPageBreak/>
        <w:t xml:space="preserve">At the end of the reporting period, 88 local governments (more than ever before) had committed to the Electoral Commission conducting their ordinary elections and any other ballots to fill extraordinary vacancies that had been held over under the legislation. </w:t>
      </w:r>
    </w:p>
    <w:p w:rsidR="009156D8" w:rsidRPr="00050291" w:rsidRDefault="009156D8" w:rsidP="009156D8">
      <w:pPr>
        <w:pStyle w:val="Pa1"/>
        <w:spacing w:before="40" w:after="100"/>
        <w:rPr>
          <w:sz w:val="20"/>
          <w:szCs w:val="20"/>
        </w:rPr>
      </w:pPr>
      <w:r w:rsidRPr="00050291">
        <w:rPr>
          <w:sz w:val="20"/>
          <w:szCs w:val="20"/>
        </w:rPr>
        <w:t xml:space="preserve">During the reporting period planning and systems development was also commenced for the 2017 State general election, including seeking expressions of interest from prospective Returning Officers. </w:t>
      </w:r>
    </w:p>
    <w:p w:rsidR="009156D8" w:rsidRPr="00050291" w:rsidRDefault="009156D8" w:rsidP="009156D8">
      <w:pPr>
        <w:pStyle w:val="Pa14"/>
        <w:spacing w:line="240" w:lineRule="auto"/>
        <w:rPr>
          <w:bCs/>
          <w:sz w:val="20"/>
          <w:szCs w:val="20"/>
        </w:rPr>
      </w:pPr>
      <w:r w:rsidRPr="00050291">
        <w:rPr>
          <w:sz w:val="20"/>
          <w:szCs w:val="20"/>
        </w:rPr>
        <w:t>The Commission has also embarked upon a review of its risk management profile for all elections. This includes substantial work to reaffirm that existing ballot paper handling processes meet expectations and that any improvements, where necessary, are identified and implemented ahead of the next election.</w:t>
      </w:r>
    </w:p>
    <w:p w:rsidR="009156D8" w:rsidRPr="00050291" w:rsidRDefault="009156D8" w:rsidP="009156D8">
      <w:pPr>
        <w:pStyle w:val="Pa14"/>
        <w:spacing w:line="240" w:lineRule="auto"/>
        <w:rPr>
          <w:bCs/>
          <w:sz w:val="20"/>
          <w:szCs w:val="20"/>
        </w:rPr>
      </w:pPr>
    </w:p>
    <w:p w:rsidR="009156D8" w:rsidRPr="00050291" w:rsidRDefault="009156D8" w:rsidP="009156D8">
      <w:pPr>
        <w:pStyle w:val="Default"/>
        <w:rPr>
          <w:color w:val="auto"/>
          <w:sz w:val="20"/>
          <w:szCs w:val="20"/>
        </w:rPr>
      </w:pPr>
      <w:r w:rsidRPr="00050291">
        <w:rPr>
          <w:bCs/>
          <w:color w:val="auto"/>
          <w:sz w:val="20"/>
          <w:szCs w:val="20"/>
        </w:rPr>
        <w:t>The Commission conducted four postal extraordinary Local Government elections during the year as listed below.</w:t>
      </w:r>
    </w:p>
    <w:p w:rsidR="009156D8" w:rsidRPr="009156D8" w:rsidRDefault="009156D8" w:rsidP="009156D8">
      <w:pPr>
        <w:pStyle w:val="Default"/>
      </w:pP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559"/>
        <w:gridCol w:w="1559"/>
      </w:tblGrid>
      <w:tr w:rsidR="009156D8" w:rsidRPr="00271B0D" w:rsidTr="00271B0D">
        <w:tc>
          <w:tcPr>
            <w:tcW w:w="1526" w:type="dxa"/>
            <w:vAlign w:val="center"/>
          </w:tcPr>
          <w:p w:rsidR="009156D8" w:rsidRPr="00271B0D" w:rsidRDefault="009156D8" w:rsidP="0079170D">
            <w:pPr>
              <w:pStyle w:val="Pa13"/>
              <w:spacing w:before="40" w:after="100"/>
              <w:jc w:val="center"/>
              <w:rPr>
                <w:color w:val="000000"/>
                <w:sz w:val="20"/>
                <w:szCs w:val="20"/>
              </w:rPr>
            </w:pPr>
            <w:r w:rsidRPr="00271B0D">
              <w:rPr>
                <w:color w:val="000000"/>
                <w:sz w:val="20"/>
                <w:szCs w:val="20"/>
              </w:rPr>
              <w:t>Shire/City</w:t>
            </w:r>
          </w:p>
        </w:tc>
        <w:tc>
          <w:tcPr>
            <w:tcW w:w="1276" w:type="dxa"/>
            <w:vAlign w:val="center"/>
          </w:tcPr>
          <w:p w:rsidR="009156D8" w:rsidRPr="00271B0D" w:rsidRDefault="009156D8" w:rsidP="0079170D">
            <w:pPr>
              <w:pStyle w:val="Pa13"/>
              <w:spacing w:before="40" w:after="100"/>
              <w:jc w:val="center"/>
              <w:rPr>
                <w:color w:val="000000"/>
                <w:sz w:val="20"/>
                <w:szCs w:val="20"/>
              </w:rPr>
            </w:pPr>
            <w:r w:rsidRPr="00271B0D">
              <w:rPr>
                <w:color w:val="000000"/>
                <w:sz w:val="20"/>
                <w:szCs w:val="20"/>
              </w:rPr>
              <w:t>Ward Name</w:t>
            </w:r>
          </w:p>
        </w:tc>
        <w:tc>
          <w:tcPr>
            <w:tcW w:w="1559" w:type="dxa"/>
            <w:vAlign w:val="center"/>
          </w:tcPr>
          <w:p w:rsidR="009156D8" w:rsidRPr="00271B0D" w:rsidRDefault="009156D8" w:rsidP="0079170D">
            <w:pPr>
              <w:pStyle w:val="Pa13"/>
              <w:spacing w:before="40" w:after="100"/>
              <w:jc w:val="center"/>
              <w:rPr>
                <w:color w:val="000000"/>
                <w:sz w:val="20"/>
                <w:szCs w:val="20"/>
              </w:rPr>
            </w:pPr>
            <w:r w:rsidRPr="00271B0D">
              <w:rPr>
                <w:color w:val="000000"/>
                <w:sz w:val="20"/>
                <w:szCs w:val="20"/>
              </w:rPr>
              <w:t>Date of Election</w:t>
            </w:r>
          </w:p>
        </w:tc>
        <w:tc>
          <w:tcPr>
            <w:tcW w:w="1559" w:type="dxa"/>
            <w:vAlign w:val="center"/>
          </w:tcPr>
          <w:p w:rsidR="009156D8" w:rsidRPr="00271B0D" w:rsidRDefault="009156D8" w:rsidP="0079170D">
            <w:pPr>
              <w:pStyle w:val="Pa13"/>
              <w:spacing w:before="40" w:after="100"/>
              <w:jc w:val="center"/>
              <w:rPr>
                <w:color w:val="000000"/>
                <w:sz w:val="20"/>
                <w:szCs w:val="20"/>
              </w:rPr>
            </w:pPr>
            <w:r w:rsidRPr="00271B0D">
              <w:rPr>
                <w:color w:val="000000"/>
                <w:sz w:val="20"/>
                <w:szCs w:val="20"/>
              </w:rPr>
              <w:t>Participation Rate</w:t>
            </w:r>
          </w:p>
        </w:tc>
      </w:tr>
      <w:tr w:rsidR="009156D8" w:rsidRPr="00271B0D" w:rsidTr="00271B0D">
        <w:tc>
          <w:tcPr>
            <w:tcW w:w="1526" w:type="dxa"/>
            <w:vAlign w:val="center"/>
          </w:tcPr>
          <w:p w:rsidR="009156D8" w:rsidRPr="00271B0D" w:rsidRDefault="009156D8" w:rsidP="0079170D">
            <w:pPr>
              <w:pStyle w:val="Pa13"/>
              <w:spacing w:before="40" w:after="100"/>
              <w:rPr>
                <w:color w:val="000000"/>
                <w:sz w:val="20"/>
                <w:szCs w:val="20"/>
              </w:rPr>
            </w:pPr>
            <w:r w:rsidRPr="00271B0D">
              <w:rPr>
                <w:color w:val="000000"/>
                <w:sz w:val="20"/>
                <w:szCs w:val="20"/>
              </w:rPr>
              <w:t>Shire of Shark Bay</w:t>
            </w:r>
          </w:p>
        </w:tc>
        <w:tc>
          <w:tcPr>
            <w:tcW w:w="1276" w:type="dxa"/>
            <w:vAlign w:val="center"/>
          </w:tcPr>
          <w:p w:rsidR="009156D8" w:rsidRPr="00271B0D" w:rsidRDefault="009156D8" w:rsidP="0079170D">
            <w:pPr>
              <w:pStyle w:val="Pa13"/>
              <w:spacing w:before="40" w:after="100"/>
              <w:jc w:val="center"/>
              <w:rPr>
                <w:sz w:val="20"/>
                <w:szCs w:val="20"/>
              </w:rPr>
            </w:pPr>
            <w:r w:rsidRPr="00271B0D">
              <w:rPr>
                <w:sz w:val="20"/>
                <w:szCs w:val="20"/>
              </w:rPr>
              <w:t>Denham</w:t>
            </w:r>
          </w:p>
        </w:tc>
        <w:tc>
          <w:tcPr>
            <w:tcW w:w="1559" w:type="dxa"/>
            <w:vAlign w:val="center"/>
          </w:tcPr>
          <w:p w:rsidR="009156D8" w:rsidRPr="00271B0D" w:rsidRDefault="009156D8" w:rsidP="0079170D">
            <w:pPr>
              <w:pStyle w:val="Pa13"/>
              <w:spacing w:before="40" w:after="100"/>
              <w:jc w:val="center"/>
              <w:rPr>
                <w:sz w:val="20"/>
                <w:szCs w:val="20"/>
              </w:rPr>
            </w:pPr>
            <w:r w:rsidRPr="00271B0D">
              <w:rPr>
                <w:sz w:val="20"/>
                <w:szCs w:val="20"/>
              </w:rPr>
              <w:t>25 July 2014</w:t>
            </w:r>
          </w:p>
        </w:tc>
        <w:tc>
          <w:tcPr>
            <w:tcW w:w="1559" w:type="dxa"/>
            <w:vAlign w:val="center"/>
          </w:tcPr>
          <w:p w:rsidR="009156D8" w:rsidRPr="00271B0D" w:rsidRDefault="009156D8" w:rsidP="0079170D">
            <w:pPr>
              <w:pStyle w:val="Pa13"/>
              <w:spacing w:before="40" w:after="100"/>
              <w:jc w:val="center"/>
              <w:rPr>
                <w:sz w:val="20"/>
                <w:szCs w:val="20"/>
              </w:rPr>
            </w:pPr>
            <w:r w:rsidRPr="00271B0D">
              <w:rPr>
                <w:sz w:val="20"/>
                <w:szCs w:val="20"/>
              </w:rPr>
              <w:t>49.7%</w:t>
            </w:r>
          </w:p>
        </w:tc>
      </w:tr>
      <w:tr w:rsidR="009156D8" w:rsidRPr="00271B0D" w:rsidTr="00271B0D">
        <w:tc>
          <w:tcPr>
            <w:tcW w:w="1526" w:type="dxa"/>
            <w:vAlign w:val="center"/>
          </w:tcPr>
          <w:p w:rsidR="009156D8" w:rsidRPr="00271B0D" w:rsidRDefault="009156D8" w:rsidP="0079170D">
            <w:pPr>
              <w:pStyle w:val="Pa13"/>
              <w:spacing w:before="40" w:after="100"/>
              <w:rPr>
                <w:color w:val="000000"/>
                <w:sz w:val="20"/>
                <w:szCs w:val="20"/>
              </w:rPr>
            </w:pPr>
            <w:r w:rsidRPr="00271B0D">
              <w:rPr>
                <w:color w:val="000000"/>
                <w:sz w:val="20"/>
                <w:szCs w:val="20"/>
              </w:rPr>
              <w:t>Town of Mosman Park</w:t>
            </w:r>
          </w:p>
        </w:tc>
        <w:tc>
          <w:tcPr>
            <w:tcW w:w="1276" w:type="dxa"/>
            <w:vAlign w:val="center"/>
          </w:tcPr>
          <w:p w:rsidR="009156D8" w:rsidRPr="00271B0D" w:rsidRDefault="009156D8" w:rsidP="0079170D">
            <w:pPr>
              <w:pStyle w:val="Pa13"/>
              <w:spacing w:before="40" w:after="100"/>
              <w:jc w:val="center"/>
              <w:rPr>
                <w:sz w:val="20"/>
                <w:szCs w:val="20"/>
              </w:rPr>
            </w:pPr>
            <w:r w:rsidRPr="00271B0D">
              <w:rPr>
                <w:sz w:val="20"/>
                <w:szCs w:val="20"/>
              </w:rPr>
              <w:t>South</w:t>
            </w:r>
          </w:p>
        </w:tc>
        <w:tc>
          <w:tcPr>
            <w:tcW w:w="1559" w:type="dxa"/>
            <w:vAlign w:val="center"/>
          </w:tcPr>
          <w:p w:rsidR="009156D8" w:rsidRPr="00271B0D" w:rsidRDefault="009156D8" w:rsidP="0079170D">
            <w:pPr>
              <w:pStyle w:val="Pa13"/>
              <w:spacing w:before="40" w:after="100"/>
              <w:jc w:val="center"/>
              <w:rPr>
                <w:sz w:val="20"/>
                <w:szCs w:val="20"/>
              </w:rPr>
            </w:pPr>
            <w:r w:rsidRPr="00271B0D">
              <w:rPr>
                <w:sz w:val="20"/>
                <w:szCs w:val="20"/>
              </w:rPr>
              <w:t>16 October 2014</w:t>
            </w:r>
          </w:p>
        </w:tc>
        <w:tc>
          <w:tcPr>
            <w:tcW w:w="1559" w:type="dxa"/>
            <w:vAlign w:val="center"/>
          </w:tcPr>
          <w:p w:rsidR="009156D8" w:rsidRPr="00271B0D" w:rsidRDefault="009156D8" w:rsidP="0079170D">
            <w:pPr>
              <w:pStyle w:val="Pa13"/>
              <w:spacing w:before="40" w:after="100"/>
              <w:jc w:val="center"/>
              <w:rPr>
                <w:sz w:val="20"/>
                <w:szCs w:val="20"/>
              </w:rPr>
            </w:pPr>
            <w:r w:rsidRPr="00271B0D">
              <w:rPr>
                <w:sz w:val="20"/>
                <w:szCs w:val="20"/>
              </w:rPr>
              <w:t>27.7%</w:t>
            </w:r>
          </w:p>
        </w:tc>
      </w:tr>
      <w:tr w:rsidR="009156D8" w:rsidRPr="00271B0D" w:rsidTr="00271B0D">
        <w:tc>
          <w:tcPr>
            <w:tcW w:w="1526" w:type="dxa"/>
            <w:vAlign w:val="center"/>
          </w:tcPr>
          <w:p w:rsidR="009156D8" w:rsidRPr="00271B0D" w:rsidRDefault="009156D8" w:rsidP="0079170D">
            <w:pPr>
              <w:pStyle w:val="Pa13"/>
              <w:spacing w:before="40" w:after="100"/>
              <w:rPr>
                <w:color w:val="000000"/>
                <w:sz w:val="20"/>
                <w:szCs w:val="20"/>
              </w:rPr>
            </w:pPr>
            <w:r w:rsidRPr="00271B0D">
              <w:rPr>
                <w:color w:val="000000"/>
                <w:sz w:val="20"/>
                <w:szCs w:val="20"/>
              </w:rPr>
              <w:t>Town of Mosman Park</w:t>
            </w:r>
          </w:p>
        </w:tc>
        <w:tc>
          <w:tcPr>
            <w:tcW w:w="1276" w:type="dxa"/>
            <w:vAlign w:val="center"/>
          </w:tcPr>
          <w:p w:rsidR="009156D8" w:rsidRPr="00271B0D" w:rsidRDefault="009156D8" w:rsidP="0079170D">
            <w:pPr>
              <w:pStyle w:val="Pa13"/>
              <w:spacing w:before="40" w:after="100"/>
              <w:jc w:val="center"/>
              <w:rPr>
                <w:sz w:val="20"/>
                <w:szCs w:val="20"/>
              </w:rPr>
            </w:pPr>
            <w:r w:rsidRPr="00271B0D">
              <w:rPr>
                <w:sz w:val="20"/>
                <w:szCs w:val="20"/>
              </w:rPr>
              <w:t>North</w:t>
            </w:r>
          </w:p>
        </w:tc>
        <w:tc>
          <w:tcPr>
            <w:tcW w:w="1559" w:type="dxa"/>
            <w:vAlign w:val="center"/>
          </w:tcPr>
          <w:p w:rsidR="009156D8" w:rsidRPr="00271B0D" w:rsidRDefault="009156D8" w:rsidP="0079170D">
            <w:pPr>
              <w:pStyle w:val="Pa13"/>
              <w:spacing w:before="40" w:after="100"/>
              <w:jc w:val="center"/>
              <w:rPr>
                <w:sz w:val="20"/>
                <w:szCs w:val="20"/>
              </w:rPr>
            </w:pPr>
            <w:r w:rsidRPr="00271B0D">
              <w:rPr>
                <w:sz w:val="20"/>
                <w:szCs w:val="20"/>
              </w:rPr>
              <w:t>16 October 2014</w:t>
            </w:r>
          </w:p>
        </w:tc>
        <w:tc>
          <w:tcPr>
            <w:tcW w:w="1559" w:type="dxa"/>
            <w:vAlign w:val="center"/>
          </w:tcPr>
          <w:p w:rsidR="009156D8" w:rsidRPr="00271B0D" w:rsidRDefault="009156D8" w:rsidP="0079170D">
            <w:pPr>
              <w:pStyle w:val="Pa13"/>
              <w:spacing w:before="40" w:after="100"/>
              <w:jc w:val="center"/>
              <w:rPr>
                <w:sz w:val="20"/>
                <w:szCs w:val="20"/>
              </w:rPr>
            </w:pPr>
            <w:r w:rsidRPr="00271B0D">
              <w:rPr>
                <w:sz w:val="20"/>
                <w:szCs w:val="20"/>
              </w:rPr>
              <w:t>25.8%</w:t>
            </w:r>
          </w:p>
        </w:tc>
      </w:tr>
      <w:tr w:rsidR="009156D8" w:rsidRPr="00271B0D" w:rsidTr="00271B0D">
        <w:tc>
          <w:tcPr>
            <w:tcW w:w="1526" w:type="dxa"/>
            <w:vAlign w:val="center"/>
          </w:tcPr>
          <w:p w:rsidR="009156D8" w:rsidRPr="00271B0D" w:rsidRDefault="009156D8" w:rsidP="0079170D">
            <w:pPr>
              <w:pStyle w:val="Pa13"/>
              <w:spacing w:before="40" w:after="100"/>
              <w:rPr>
                <w:color w:val="000000"/>
                <w:sz w:val="20"/>
                <w:szCs w:val="20"/>
              </w:rPr>
            </w:pPr>
            <w:r w:rsidRPr="00271B0D">
              <w:rPr>
                <w:color w:val="000000"/>
                <w:sz w:val="20"/>
                <w:szCs w:val="20"/>
              </w:rPr>
              <w:t>Shire of Menzies</w:t>
            </w:r>
          </w:p>
        </w:tc>
        <w:tc>
          <w:tcPr>
            <w:tcW w:w="1276" w:type="dxa"/>
            <w:vAlign w:val="center"/>
          </w:tcPr>
          <w:p w:rsidR="009156D8" w:rsidRPr="00271B0D" w:rsidRDefault="009156D8" w:rsidP="0079170D">
            <w:pPr>
              <w:pStyle w:val="Pa13"/>
              <w:spacing w:before="40" w:after="100"/>
              <w:jc w:val="center"/>
              <w:rPr>
                <w:sz w:val="20"/>
                <w:szCs w:val="20"/>
              </w:rPr>
            </w:pPr>
            <w:r w:rsidRPr="00271B0D">
              <w:rPr>
                <w:sz w:val="20"/>
                <w:szCs w:val="20"/>
              </w:rPr>
              <w:t>Rural</w:t>
            </w:r>
          </w:p>
        </w:tc>
        <w:tc>
          <w:tcPr>
            <w:tcW w:w="1559" w:type="dxa"/>
            <w:vAlign w:val="center"/>
          </w:tcPr>
          <w:p w:rsidR="009156D8" w:rsidRPr="00271B0D" w:rsidRDefault="009156D8" w:rsidP="0079170D">
            <w:pPr>
              <w:pStyle w:val="Pa13"/>
              <w:spacing w:before="40" w:after="100"/>
              <w:jc w:val="center"/>
              <w:rPr>
                <w:sz w:val="20"/>
                <w:szCs w:val="20"/>
              </w:rPr>
            </w:pPr>
            <w:r w:rsidRPr="00271B0D">
              <w:rPr>
                <w:sz w:val="20"/>
                <w:szCs w:val="20"/>
              </w:rPr>
              <w:t>18 December 2014</w:t>
            </w:r>
          </w:p>
        </w:tc>
        <w:tc>
          <w:tcPr>
            <w:tcW w:w="1559" w:type="dxa"/>
            <w:vAlign w:val="center"/>
          </w:tcPr>
          <w:p w:rsidR="009156D8" w:rsidRPr="00271B0D" w:rsidRDefault="009156D8" w:rsidP="0079170D">
            <w:pPr>
              <w:pStyle w:val="Pa13"/>
              <w:spacing w:before="40" w:after="100"/>
              <w:jc w:val="center"/>
              <w:rPr>
                <w:sz w:val="20"/>
                <w:szCs w:val="20"/>
              </w:rPr>
            </w:pPr>
            <w:r w:rsidRPr="00271B0D">
              <w:rPr>
                <w:sz w:val="20"/>
                <w:szCs w:val="20"/>
              </w:rPr>
              <w:t>24.5%</w:t>
            </w:r>
          </w:p>
        </w:tc>
      </w:tr>
    </w:tbl>
    <w:p w:rsidR="009156D8" w:rsidRPr="00050291" w:rsidRDefault="009156D8" w:rsidP="0079170D">
      <w:pPr>
        <w:pStyle w:val="Default"/>
        <w:spacing w:before="120" w:after="100" w:line="191" w:lineRule="atLeast"/>
        <w:rPr>
          <w:color w:val="auto"/>
          <w:sz w:val="20"/>
          <w:szCs w:val="20"/>
        </w:rPr>
      </w:pPr>
      <w:r w:rsidRPr="00050291">
        <w:rPr>
          <w:color w:val="auto"/>
          <w:sz w:val="20"/>
          <w:szCs w:val="20"/>
        </w:rPr>
        <w:t xml:space="preserve">The Commission continues to offer assistance to private organisations seeking advice on the conduct of elections for boards, management committees and the like. This is particularly important when organisations are reviewing their constitution and rules to ensure sound electoral procedure and practice and to maintain overall good governance. In the past year Commission experience has been utilised for large in-person elections, Aboriginal organisations and the conduct of employee agreement ballots for local government and private organisations. The variety of organisations utilising Commission services has increased considerably over the past 12 months. </w:t>
      </w:r>
    </w:p>
    <w:p w:rsidR="009156D8" w:rsidRPr="00050291" w:rsidRDefault="009156D8" w:rsidP="009156D8">
      <w:pPr>
        <w:pStyle w:val="Pa1"/>
        <w:spacing w:before="40" w:after="100"/>
        <w:rPr>
          <w:sz w:val="20"/>
          <w:szCs w:val="20"/>
        </w:rPr>
      </w:pPr>
      <w:r w:rsidRPr="00050291">
        <w:rPr>
          <w:b/>
          <w:bCs/>
          <w:sz w:val="20"/>
          <w:szCs w:val="20"/>
        </w:rPr>
        <w:t xml:space="preserve">Key activities included: </w:t>
      </w:r>
    </w:p>
    <w:p w:rsidR="009156D8" w:rsidRPr="00050291" w:rsidRDefault="009156D8" w:rsidP="009156D8">
      <w:pPr>
        <w:pStyle w:val="Pa9"/>
        <w:tabs>
          <w:tab w:val="left" w:pos="851"/>
        </w:tabs>
        <w:spacing w:before="40" w:after="100"/>
        <w:ind w:left="851" w:hanging="425"/>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UWA and Curtin Student Guilds </w:t>
      </w:r>
      <w:r w:rsidRPr="00050291">
        <w:rPr>
          <w:i/>
          <w:iCs/>
          <w:sz w:val="20"/>
          <w:szCs w:val="20"/>
        </w:rPr>
        <w:t xml:space="preserve">Assistance in the review and re-write of Election Regulations </w:t>
      </w:r>
    </w:p>
    <w:p w:rsidR="009156D8" w:rsidRPr="00050291" w:rsidRDefault="009156D8" w:rsidP="009156D8">
      <w:pPr>
        <w:pStyle w:val="Pa9"/>
        <w:tabs>
          <w:tab w:val="left" w:pos="851"/>
        </w:tabs>
        <w:spacing w:before="40" w:after="100"/>
        <w:ind w:left="851" w:hanging="425"/>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South West Aboriginal Land and Sea Council </w:t>
      </w:r>
      <w:r w:rsidRPr="00050291">
        <w:rPr>
          <w:i/>
          <w:iCs/>
          <w:sz w:val="20"/>
          <w:szCs w:val="20"/>
        </w:rPr>
        <w:t xml:space="preserve">Assistance in the review and re-write of Rule Book and Election Rules </w:t>
      </w:r>
    </w:p>
    <w:p w:rsidR="009156D8" w:rsidRPr="00050291" w:rsidRDefault="009156D8" w:rsidP="009156D8">
      <w:pPr>
        <w:pStyle w:val="Pa9"/>
        <w:tabs>
          <w:tab w:val="left" w:pos="851"/>
        </w:tabs>
        <w:spacing w:before="40" w:after="100"/>
        <w:ind w:left="851" w:hanging="425"/>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Aboriginal organisations </w:t>
      </w:r>
      <w:proofErr w:type="gramStart"/>
      <w:r w:rsidRPr="00050291">
        <w:rPr>
          <w:i/>
          <w:iCs/>
          <w:sz w:val="20"/>
          <w:szCs w:val="20"/>
        </w:rPr>
        <w:t>Engaging</w:t>
      </w:r>
      <w:proofErr w:type="gramEnd"/>
      <w:r w:rsidRPr="00050291">
        <w:rPr>
          <w:i/>
          <w:iCs/>
          <w:sz w:val="20"/>
          <w:szCs w:val="20"/>
        </w:rPr>
        <w:t xml:space="preserve"> the Commission to ensure sound, independent electoral procedure and practice (postal and in-person elections) </w:t>
      </w:r>
    </w:p>
    <w:p w:rsidR="009156D8" w:rsidRPr="00050291" w:rsidRDefault="009156D8" w:rsidP="009156D8">
      <w:pPr>
        <w:pStyle w:val="Default"/>
        <w:tabs>
          <w:tab w:val="left" w:pos="851"/>
        </w:tabs>
        <w:spacing w:before="40" w:after="100" w:line="191" w:lineRule="atLeast"/>
        <w:ind w:left="851" w:hanging="425"/>
        <w:rPr>
          <w:color w:val="auto"/>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color w:val="auto"/>
          <w:sz w:val="20"/>
          <w:szCs w:val="20"/>
        </w:rPr>
        <w:t xml:space="preserve">Employee agreements </w:t>
      </w:r>
      <w:proofErr w:type="gramStart"/>
      <w:r w:rsidRPr="00050291">
        <w:rPr>
          <w:i/>
          <w:iCs/>
          <w:color w:val="auto"/>
          <w:sz w:val="20"/>
          <w:szCs w:val="20"/>
        </w:rPr>
        <w:t>An</w:t>
      </w:r>
      <w:proofErr w:type="gramEnd"/>
      <w:r w:rsidRPr="00050291">
        <w:rPr>
          <w:i/>
          <w:iCs/>
          <w:color w:val="auto"/>
          <w:sz w:val="20"/>
          <w:szCs w:val="20"/>
        </w:rPr>
        <w:t xml:space="preserve"> increase in ballots conducted by the Commission (local government and private organisations) </w:t>
      </w:r>
    </w:p>
    <w:p w:rsidR="009156D8" w:rsidRPr="00050291" w:rsidRDefault="009156D8" w:rsidP="009156D8">
      <w:pPr>
        <w:pStyle w:val="Pa9"/>
        <w:tabs>
          <w:tab w:val="left" w:pos="851"/>
        </w:tabs>
        <w:spacing w:before="40" w:after="100"/>
        <w:ind w:left="851" w:hanging="425"/>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MDA National </w:t>
      </w:r>
      <w:r w:rsidRPr="00050291">
        <w:rPr>
          <w:i/>
          <w:iCs/>
          <w:sz w:val="20"/>
          <w:szCs w:val="20"/>
        </w:rPr>
        <w:t xml:space="preserve">Conduct of large Australia-wide election </w:t>
      </w:r>
    </w:p>
    <w:p w:rsidR="009156D8" w:rsidRPr="00050291" w:rsidRDefault="009156D8" w:rsidP="009156D8">
      <w:pPr>
        <w:pStyle w:val="Pa9"/>
        <w:tabs>
          <w:tab w:val="left" w:pos="851"/>
        </w:tabs>
        <w:spacing w:before="40" w:after="100"/>
        <w:ind w:left="851" w:hanging="425"/>
        <w:rPr>
          <w:sz w:val="20"/>
          <w:szCs w:val="20"/>
        </w:rPr>
      </w:pPr>
      <w:proofErr w:type="gramStart"/>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Numerous enquiries related to the use of WAEC ‘Standard Election Rules’ and general electoral procedure.</w:t>
      </w:r>
      <w:proofErr w:type="gramEnd"/>
      <w:r w:rsidRPr="00050291">
        <w:rPr>
          <w:sz w:val="20"/>
          <w:szCs w:val="20"/>
        </w:rPr>
        <w:t xml:space="preserve"> </w:t>
      </w:r>
    </w:p>
    <w:p w:rsidR="009156D8" w:rsidRPr="00050291" w:rsidRDefault="009156D8" w:rsidP="009156D8">
      <w:pPr>
        <w:pStyle w:val="Pa14"/>
        <w:spacing w:line="240" w:lineRule="auto"/>
        <w:rPr>
          <w:sz w:val="20"/>
          <w:szCs w:val="20"/>
        </w:rPr>
      </w:pPr>
      <w:r w:rsidRPr="00050291">
        <w:rPr>
          <w:sz w:val="20"/>
          <w:szCs w:val="20"/>
        </w:rPr>
        <w:t>The Commission now has a consolidated election management branch, combining parliamentary, local government and fee for service election operations</w:t>
      </w:r>
      <w:r w:rsidR="003D4B84" w:rsidRPr="00050291">
        <w:rPr>
          <w:sz w:val="20"/>
          <w:szCs w:val="20"/>
        </w:rPr>
        <w:t>.</w:t>
      </w:r>
    </w:p>
    <w:p w:rsidR="00531416" w:rsidRDefault="00531416" w:rsidP="00531416">
      <w:pPr>
        <w:pStyle w:val="Heading2ARtitlecase"/>
        <w:spacing w:before="240"/>
      </w:pPr>
      <w:r>
        <w:t>Output 2:</w:t>
      </w:r>
    </w:p>
    <w:p w:rsidR="003D4B84" w:rsidRPr="00050291" w:rsidRDefault="003D4B84" w:rsidP="00531416">
      <w:pPr>
        <w:pStyle w:val="Heading2ARblack"/>
      </w:pPr>
      <w:r w:rsidRPr="00050291">
        <w:t>Electoral Roll Management</w:t>
      </w:r>
    </w:p>
    <w:p w:rsidR="003D4B84" w:rsidRPr="00050291" w:rsidRDefault="003D4B84" w:rsidP="003D4B84">
      <w:pPr>
        <w:pStyle w:val="BC"/>
        <w:rPr>
          <w:rFonts w:cs="Myriad Pro"/>
          <w:color w:val="auto"/>
          <w:sz w:val="20"/>
          <w:szCs w:val="20"/>
        </w:rPr>
      </w:pPr>
      <w:r w:rsidRPr="00050291">
        <w:rPr>
          <w:rFonts w:cs="Myriad Pro"/>
          <w:color w:val="auto"/>
          <w:sz w:val="20"/>
          <w:szCs w:val="20"/>
        </w:rPr>
        <w:t xml:space="preserve">A geocoded digital mapping system implementation was completed during the period. </w:t>
      </w:r>
      <w:proofErr w:type="gramStart"/>
      <w:r w:rsidRPr="00050291">
        <w:rPr>
          <w:rFonts w:cs="Myriad Pro"/>
          <w:color w:val="auto"/>
          <w:sz w:val="20"/>
          <w:szCs w:val="20"/>
        </w:rPr>
        <w:t>This geocoded every elector habitation within the State and replaced manually amended hard copy maps used within the enrolment section.</w:t>
      </w:r>
      <w:proofErr w:type="gramEnd"/>
    </w:p>
    <w:p w:rsidR="003D4B84" w:rsidRPr="00050291" w:rsidRDefault="003D4B84" w:rsidP="003D4B84">
      <w:pPr>
        <w:pStyle w:val="BC"/>
        <w:rPr>
          <w:bCs/>
          <w:color w:val="auto"/>
          <w:sz w:val="20"/>
          <w:szCs w:val="20"/>
        </w:rPr>
      </w:pPr>
      <w:r w:rsidRPr="00050291">
        <w:rPr>
          <w:bCs/>
          <w:color w:val="auto"/>
          <w:sz w:val="20"/>
          <w:szCs w:val="20"/>
        </w:rPr>
        <w:t>The table below summarises Electoral Enrolment Activity for 2014–15</w:t>
      </w:r>
    </w:p>
    <w:tbl>
      <w:tblPr>
        <w:tblW w:w="0" w:type="auto"/>
        <w:tblLook w:val="04A0" w:firstRow="1" w:lastRow="0" w:firstColumn="1" w:lastColumn="0" w:noHBand="0" w:noVBand="1"/>
      </w:tblPr>
      <w:tblGrid>
        <w:gridCol w:w="3085"/>
        <w:gridCol w:w="2268"/>
      </w:tblGrid>
      <w:tr w:rsidR="003D4B84" w:rsidRPr="00050291" w:rsidTr="003D4B84">
        <w:tc>
          <w:tcPr>
            <w:tcW w:w="3085" w:type="dxa"/>
          </w:tcPr>
          <w:p w:rsidR="003D4B84" w:rsidRPr="00050291" w:rsidRDefault="003D4B84" w:rsidP="003D4B84">
            <w:pPr>
              <w:pStyle w:val="Pa10"/>
              <w:spacing w:before="40" w:after="100"/>
              <w:jc w:val="right"/>
              <w:rPr>
                <w:sz w:val="20"/>
                <w:szCs w:val="20"/>
              </w:rPr>
            </w:pPr>
            <w:r w:rsidRPr="00050291">
              <w:rPr>
                <w:sz w:val="20"/>
                <w:szCs w:val="20"/>
              </w:rPr>
              <w:t xml:space="preserve">Total enrolment 1 July 2014 </w:t>
            </w:r>
          </w:p>
        </w:tc>
        <w:tc>
          <w:tcPr>
            <w:tcW w:w="2268" w:type="dxa"/>
          </w:tcPr>
          <w:p w:rsidR="003D4B84" w:rsidRPr="00050291" w:rsidRDefault="003D4B84" w:rsidP="003D4B84">
            <w:pPr>
              <w:pStyle w:val="Pa1"/>
              <w:spacing w:before="40" w:after="100"/>
              <w:rPr>
                <w:sz w:val="20"/>
                <w:szCs w:val="20"/>
              </w:rPr>
            </w:pPr>
            <w:r w:rsidRPr="00050291">
              <w:rPr>
                <w:sz w:val="20"/>
                <w:szCs w:val="20"/>
              </w:rPr>
              <w:t xml:space="preserve">1,470,082 </w:t>
            </w:r>
          </w:p>
        </w:tc>
      </w:tr>
      <w:tr w:rsidR="003D4B84" w:rsidRPr="00050291" w:rsidTr="003D4B84">
        <w:tc>
          <w:tcPr>
            <w:tcW w:w="3085" w:type="dxa"/>
          </w:tcPr>
          <w:p w:rsidR="003D4B84" w:rsidRPr="00050291" w:rsidRDefault="003D4B84" w:rsidP="003D4B84">
            <w:pPr>
              <w:pStyle w:val="Pa10"/>
              <w:spacing w:before="40" w:after="100"/>
              <w:jc w:val="right"/>
              <w:rPr>
                <w:sz w:val="20"/>
                <w:szCs w:val="20"/>
              </w:rPr>
            </w:pPr>
            <w:r w:rsidRPr="00050291">
              <w:rPr>
                <w:sz w:val="20"/>
                <w:szCs w:val="20"/>
              </w:rPr>
              <w:t xml:space="preserve">Total enrolment 30 June 2015 </w:t>
            </w:r>
          </w:p>
        </w:tc>
        <w:tc>
          <w:tcPr>
            <w:tcW w:w="2268" w:type="dxa"/>
          </w:tcPr>
          <w:p w:rsidR="003D4B84" w:rsidRPr="00050291" w:rsidRDefault="003D4B84" w:rsidP="003D4B84">
            <w:pPr>
              <w:pStyle w:val="Pa1"/>
              <w:spacing w:before="40" w:after="100"/>
              <w:rPr>
                <w:sz w:val="20"/>
                <w:szCs w:val="20"/>
              </w:rPr>
            </w:pPr>
            <w:r w:rsidRPr="00050291">
              <w:rPr>
                <w:sz w:val="20"/>
                <w:szCs w:val="20"/>
              </w:rPr>
              <w:t xml:space="preserve">1,477,060 </w:t>
            </w:r>
          </w:p>
        </w:tc>
      </w:tr>
      <w:tr w:rsidR="003D4B84" w:rsidRPr="00050291" w:rsidTr="003D4B84">
        <w:tc>
          <w:tcPr>
            <w:tcW w:w="3085" w:type="dxa"/>
          </w:tcPr>
          <w:p w:rsidR="003D4B84" w:rsidRPr="00050291" w:rsidRDefault="003D4B84" w:rsidP="003D4B84">
            <w:pPr>
              <w:pStyle w:val="Pa10"/>
              <w:spacing w:before="40" w:after="100"/>
              <w:jc w:val="right"/>
              <w:rPr>
                <w:sz w:val="20"/>
                <w:szCs w:val="20"/>
              </w:rPr>
            </w:pPr>
            <w:r w:rsidRPr="00050291">
              <w:rPr>
                <w:sz w:val="20"/>
                <w:szCs w:val="20"/>
              </w:rPr>
              <w:t xml:space="preserve">Net increase </w:t>
            </w:r>
          </w:p>
        </w:tc>
        <w:tc>
          <w:tcPr>
            <w:tcW w:w="2268" w:type="dxa"/>
          </w:tcPr>
          <w:p w:rsidR="003D4B84" w:rsidRPr="00050291" w:rsidRDefault="003D4B84" w:rsidP="003D4B84">
            <w:pPr>
              <w:pStyle w:val="Pa1"/>
              <w:spacing w:before="40" w:after="100"/>
              <w:rPr>
                <w:sz w:val="20"/>
                <w:szCs w:val="20"/>
              </w:rPr>
            </w:pPr>
            <w:r w:rsidRPr="00050291">
              <w:rPr>
                <w:sz w:val="20"/>
                <w:szCs w:val="20"/>
              </w:rPr>
              <w:t xml:space="preserve">6,978 </w:t>
            </w:r>
          </w:p>
        </w:tc>
      </w:tr>
    </w:tbl>
    <w:p w:rsidR="003D4B84" w:rsidRPr="00050291" w:rsidRDefault="003D4B84" w:rsidP="003D4B84">
      <w:pPr>
        <w:pStyle w:val="Pa1"/>
        <w:spacing w:before="240" w:after="100"/>
        <w:rPr>
          <w:sz w:val="20"/>
          <w:szCs w:val="20"/>
        </w:rPr>
      </w:pPr>
      <w:r w:rsidRPr="00050291">
        <w:rPr>
          <w:sz w:val="20"/>
          <w:szCs w:val="20"/>
        </w:rPr>
        <w:lastRenderedPageBreak/>
        <w:t xml:space="preserve">It is usual for total enrolments to follow a cyclical pattern of gradually decreasing after a major electoral event as public interest wanes and then improving in the lead up to a major electoral event. Such peaks and troughs in enrolment activity were evident throughout the year. </w:t>
      </w:r>
    </w:p>
    <w:p w:rsidR="003D4B84" w:rsidRPr="00050291" w:rsidRDefault="003D4B84" w:rsidP="003D4B84">
      <w:pPr>
        <w:pStyle w:val="Pa1"/>
        <w:spacing w:before="40" w:after="100"/>
        <w:rPr>
          <w:sz w:val="20"/>
          <w:szCs w:val="20"/>
        </w:rPr>
      </w:pPr>
      <w:r w:rsidRPr="00050291">
        <w:rPr>
          <w:sz w:val="20"/>
          <w:szCs w:val="20"/>
        </w:rPr>
        <w:t xml:space="preserve">In meeting the requirements of electoral events, the following rolls were produced: </w:t>
      </w:r>
    </w:p>
    <w:p w:rsidR="003D4B84" w:rsidRPr="00050291" w:rsidRDefault="003D4B84" w:rsidP="003D4B84">
      <w:pPr>
        <w:pStyle w:val="Pa14"/>
        <w:ind w:left="709" w:hanging="425"/>
        <w:rPr>
          <w:sz w:val="20"/>
          <w:szCs w:val="20"/>
        </w:rPr>
      </w:pPr>
      <w:r w:rsidRPr="00050291">
        <w:rPr>
          <w:rStyle w:val="A22"/>
          <w:b w:val="0"/>
          <w:bCs w:val="0"/>
          <w:color w:val="auto"/>
          <w:sz w:val="20"/>
          <w:szCs w:val="20"/>
        </w:rPr>
        <w:t>»</w:t>
      </w:r>
      <w:r w:rsidRPr="00050291">
        <w:rPr>
          <w:rStyle w:val="A22"/>
          <w:color w:val="auto"/>
          <w:sz w:val="20"/>
          <w:szCs w:val="20"/>
        </w:rPr>
        <w:tab/>
      </w:r>
      <w:r w:rsidRPr="00050291">
        <w:rPr>
          <w:sz w:val="20"/>
          <w:szCs w:val="20"/>
        </w:rPr>
        <w:t xml:space="preserve">Rolls for five local government amalgamation postal polls </w:t>
      </w:r>
    </w:p>
    <w:p w:rsidR="003D4B84" w:rsidRPr="00050291" w:rsidRDefault="003D4B84" w:rsidP="003D4B84">
      <w:pPr>
        <w:pStyle w:val="Pa14"/>
        <w:ind w:left="709" w:hanging="425"/>
        <w:rPr>
          <w:sz w:val="20"/>
          <w:szCs w:val="20"/>
        </w:rPr>
      </w:pPr>
      <w:proofErr w:type="gramStart"/>
      <w:r w:rsidRPr="00050291">
        <w:rPr>
          <w:rStyle w:val="A22"/>
          <w:b w:val="0"/>
          <w:bCs w:val="0"/>
          <w:color w:val="auto"/>
          <w:sz w:val="20"/>
          <w:szCs w:val="20"/>
        </w:rPr>
        <w:t>»</w:t>
      </w:r>
      <w:r w:rsidRPr="00050291">
        <w:rPr>
          <w:rStyle w:val="A22"/>
          <w:color w:val="auto"/>
          <w:sz w:val="20"/>
          <w:szCs w:val="20"/>
        </w:rPr>
        <w:tab/>
      </w:r>
      <w:r w:rsidRPr="00050291">
        <w:rPr>
          <w:sz w:val="20"/>
          <w:szCs w:val="20"/>
        </w:rPr>
        <w:t>Rolls for ten local government extraordinary elections.</w:t>
      </w:r>
      <w:proofErr w:type="gramEnd"/>
      <w:r w:rsidRPr="00050291">
        <w:rPr>
          <w:sz w:val="20"/>
          <w:szCs w:val="20"/>
        </w:rPr>
        <w:t xml:space="preserve"> </w:t>
      </w:r>
    </w:p>
    <w:p w:rsidR="003D4B84" w:rsidRPr="00050291" w:rsidRDefault="003D4B84" w:rsidP="003D4B84">
      <w:pPr>
        <w:pStyle w:val="Pa12"/>
        <w:spacing w:before="280"/>
        <w:rPr>
          <w:b/>
          <w:sz w:val="20"/>
          <w:szCs w:val="20"/>
        </w:rPr>
      </w:pPr>
      <w:r w:rsidRPr="00050291">
        <w:rPr>
          <w:b/>
          <w:sz w:val="20"/>
          <w:szCs w:val="20"/>
        </w:rPr>
        <w:t xml:space="preserve">SILENT ELECTORS </w:t>
      </w:r>
    </w:p>
    <w:p w:rsidR="003D4B84" w:rsidRPr="00050291" w:rsidRDefault="003D4B84" w:rsidP="003D4B84">
      <w:pPr>
        <w:pStyle w:val="Pa1"/>
        <w:spacing w:before="40" w:after="100"/>
        <w:rPr>
          <w:sz w:val="20"/>
          <w:szCs w:val="20"/>
        </w:rPr>
      </w:pPr>
      <w:r w:rsidRPr="00050291">
        <w:rPr>
          <w:sz w:val="20"/>
          <w:szCs w:val="20"/>
        </w:rPr>
        <w:t xml:space="preserve">Silent electors are individuals who have applied to have their residential addresses suppressed on the electoral roll for personal security reasons. A silent elector may also have their name suppressed from publicly available rolls. In 2014–15 the number of silent electors registered increased by 2.4% to 16,448 compared with an overall roll increase of 0.47%. </w:t>
      </w:r>
    </w:p>
    <w:p w:rsidR="003D4B84" w:rsidRPr="00050291" w:rsidRDefault="003D4B84" w:rsidP="003D4B84">
      <w:pPr>
        <w:pStyle w:val="Pa12"/>
        <w:spacing w:before="280"/>
        <w:rPr>
          <w:b/>
          <w:sz w:val="20"/>
          <w:szCs w:val="20"/>
        </w:rPr>
      </w:pPr>
      <w:r w:rsidRPr="00050291">
        <w:rPr>
          <w:b/>
          <w:sz w:val="20"/>
          <w:szCs w:val="20"/>
        </w:rPr>
        <w:t xml:space="preserve">GENERAL EARLY VOTERS </w:t>
      </w:r>
    </w:p>
    <w:p w:rsidR="003D4B84" w:rsidRPr="00050291" w:rsidRDefault="003D4B84" w:rsidP="003D4B84">
      <w:pPr>
        <w:pStyle w:val="Pa1"/>
        <w:spacing w:before="40" w:after="100"/>
        <w:rPr>
          <w:sz w:val="20"/>
          <w:szCs w:val="20"/>
        </w:rPr>
      </w:pPr>
      <w:r w:rsidRPr="00050291">
        <w:rPr>
          <w:sz w:val="20"/>
          <w:szCs w:val="20"/>
        </w:rPr>
        <w:t xml:space="preserve">Enrolled electors meeting the requirements of section 93 of the </w:t>
      </w:r>
      <w:r w:rsidRPr="00050291">
        <w:rPr>
          <w:i/>
          <w:iCs/>
          <w:sz w:val="20"/>
          <w:szCs w:val="20"/>
        </w:rPr>
        <w:t xml:space="preserve">Electoral Act 1907 </w:t>
      </w:r>
      <w:r w:rsidRPr="00050291">
        <w:rPr>
          <w:sz w:val="20"/>
          <w:szCs w:val="20"/>
        </w:rPr>
        <w:t xml:space="preserve">may apply to be registered as a general early voter. These electors are automatically sent a postal vote for any parliamentary election relating to their enrolment. </w:t>
      </w:r>
      <w:proofErr w:type="gramStart"/>
      <w:r w:rsidRPr="00050291">
        <w:rPr>
          <w:sz w:val="20"/>
          <w:szCs w:val="20"/>
        </w:rPr>
        <w:t>The number of general early voters in 2014–15 decreased slightly by 0.8% to 29,383.</w:t>
      </w:r>
      <w:proofErr w:type="gramEnd"/>
      <w:r w:rsidRPr="00050291">
        <w:rPr>
          <w:sz w:val="20"/>
          <w:szCs w:val="20"/>
        </w:rPr>
        <w:t xml:space="preserve"> </w:t>
      </w:r>
    </w:p>
    <w:p w:rsidR="009156D8" w:rsidRPr="00050291" w:rsidRDefault="009156D8" w:rsidP="009156D8">
      <w:pPr>
        <w:pStyle w:val="Pa12"/>
        <w:spacing w:before="280"/>
        <w:rPr>
          <w:b/>
          <w:sz w:val="20"/>
          <w:szCs w:val="20"/>
        </w:rPr>
      </w:pPr>
      <w:r w:rsidRPr="00050291">
        <w:rPr>
          <w:b/>
          <w:sz w:val="20"/>
          <w:szCs w:val="20"/>
        </w:rPr>
        <w:t xml:space="preserve">LOCAL GOVERNMENT BOUNDARY CHANGES </w:t>
      </w:r>
    </w:p>
    <w:p w:rsidR="009156D8" w:rsidRPr="00050291" w:rsidRDefault="009156D8" w:rsidP="009156D8">
      <w:pPr>
        <w:pStyle w:val="Pa1"/>
        <w:spacing w:before="40" w:after="100"/>
        <w:rPr>
          <w:sz w:val="20"/>
          <w:szCs w:val="20"/>
        </w:rPr>
      </w:pPr>
      <w:r w:rsidRPr="00050291">
        <w:rPr>
          <w:sz w:val="20"/>
          <w:szCs w:val="20"/>
        </w:rPr>
        <w:t xml:space="preserve">Local governments are required to undertake ward reviews every 8 years or whenever an imbalance of 10% or greater in elector numbers is detected. </w:t>
      </w:r>
    </w:p>
    <w:p w:rsidR="003D4B84" w:rsidRPr="00050291" w:rsidRDefault="003D4B84" w:rsidP="00271B0D">
      <w:pPr>
        <w:pStyle w:val="Pa12"/>
        <w:spacing w:before="240" w:line="240" w:lineRule="auto"/>
        <w:rPr>
          <w:b/>
          <w:sz w:val="20"/>
          <w:szCs w:val="20"/>
        </w:rPr>
      </w:pPr>
      <w:r w:rsidRPr="00050291">
        <w:rPr>
          <w:b/>
          <w:sz w:val="20"/>
          <w:szCs w:val="20"/>
        </w:rPr>
        <w:t xml:space="preserve">SUPPLY OF ROLL INFORMATION </w:t>
      </w:r>
    </w:p>
    <w:p w:rsidR="003D4B84" w:rsidRPr="00050291" w:rsidRDefault="003D4B84" w:rsidP="003D4B84">
      <w:pPr>
        <w:pStyle w:val="Pa1"/>
        <w:spacing w:before="40" w:after="100"/>
        <w:rPr>
          <w:sz w:val="20"/>
          <w:szCs w:val="20"/>
        </w:rPr>
      </w:pPr>
      <w:r w:rsidRPr="00050291">
        <w:rPr>
          <w:sz w:val="20"/>
          <w:szCs w:val="20"/>
        </w:rPr>
        <w:t xml:space="preserve">Enrolment data may be supplied to organisations where there is a legislative basis to do so and/or the Electoral Commissioner has determined that the public interest in providing the data outweighs the public interest in protecting enrolment information. The enrolment information provided to organisations, together with the purpose for which that information was provided, is listed in an extract of the roll products register at Appendix 3. </w:t>
      </w:r>
    </w:p>
    <w:p w:rsidR="003D4B84" w:rsidRPr="00050291" w:rsidRDefault="003D4B84" w:rsidP="003D4B84">
      <w:pPr>
        <w:pStyle w:val="Pa1"/>
        <w:spacing w:before="40" w:after="100"/>
        <w:rPr>
          <w:sz w:val="20"/>
          <w:szCs w:val="20"/>
        </w:rPr>
      </w:pPr>
      <w:r w:rsidRPr="00050291">
        <w:rPr>
          <w:sz w:val="20"/>
          <w:szCs w:val="20"/>
        </w:rPr>
        <w:t xml:space="preserve">Under the </w:t>
      </w:r>
      <w:r w:rsidRPr="00050291">
        <w:rPr>
          <w:i/>
          <w:iCs/>
          <w:sz w:val="20"/>
          <w:szCs w:val="20"/>
        </w:rPr>
        <w:t>Juries Act 1957</w:t>
      </w:r>
      <w:r w:rsidRPr="00050291">
        <w:rPr>
          <w:sz w:val="20"/>
          <w:szCs w:val="20"/>
        </w:rPr>
        <w:t xml:space="preserve">, the Commission has an obligation to provide the Sheriff with lists of prospective jurors for each of the State’s 16 jury districts with monthly updates to manage changes of address. Elector names are randomly selected from the electoral roll. The 2014– 15 </w:t>
      </w:r>
      <w:proofErr w:type="gramStart"/>
      <w:r w:rsidRPr="00050291">
        <w:rPr>
          <w:sz w:val="20"/>
          <w:szCs w:val="20"/>
        </w:rPr>
        <w:t>list</w:t>
      </w:r>
      <w:proofErr w:type="gramEnd"/>
      <w:r w:rsidRPr="00050291">
        <w:rPr>
          <w:sz w:val="20"/>
          <w:szCs w:val="20"/>
        </w:rPr>
        <w:t xml:space="preserve"> of 157,298 prospective jurors was prepared in April. </w:t>
      </w:r>
    </w:p>
    <w:p w:rsidR="003D4B84" w:rsidRPr="00050291" w:rsidRDefault="003D4B84" w:rsidP="003D4B84">
      <w:pPr>
        <w:pStyle w:val="BodyCopy"/>
        <w:rPr>
          <w:bCs/>
          <w:color w:val="auto"/>
          <w:sz w:val="20"/>
          <w:szCs w:val="20"/>
        </w:rPr>
      </w:pPr>
      <w:r w:rsidRPr="00050291">
        <w:rPr>
          <w:color w:val="auto"/>
          <w:sz w:val="20"/>
          <w:szCs w:val="20"/>
        </w:rPr>
        <w:t xml:space="preserve">Under section 25A of the </w:t>
      </w:r>
      <w:r w:rsidRPr="00050291">
        <w:rPr>
          <w:i/>
          <w:iCs/>
          <w:color w:val="auto"/>
          <w:sz w:val="20"/>
          <w:szCs w:val="20"/>
        </w:rPr>
        <w:t>Electoral Act 1907</w:t>
      </w:r>
      <w:r w:rsidRPr="00050291">
        <w:rPr>
          <w:color w:val="auto"/>
          <w:sz w:val="20"/>
          <w:szCs w:val="20"/>
        </w:rPr>
        <w:t>, the Electoral Commissioner must provide each Member of Parliament and parliamentary parties with the electoral roll if requested. This is achieved through updates to service providers who receive either monthly updates or roll dumps to provide this information to Members of Parliament directly.</w:t>
      </w:r>
    </w:p>
    <w:p w:rsidR="00531416" w:rsidRDefault="003D4B84" w:rsidP="00531416">
      <w:pPr>
        <w:pStyle w:val="Heading2ARtitlecase"/>
        <w:spacing w:before="240"/>
      </w:pPr>
      <w:r>
        <w:t>Output 3:</w:t>
      </w:r>
    </w:p>
    <w:p w:rsidR="003D4B84" w:rsidRPr="00050291" w:rsidRDefault="003D4B84" w:rsidP="00531416">
      <w:pPr>
        <w:pStyle w:val="Heading2ARblack"/>
      </w:pPr>
      <w:r w:rsidRPr="00050291">
        <w:t>Electoral Awareness and Engagement</w:t>
      </w:r>
    </w:p>
    <w:p w:rsidR="003D4B84" w:rsidRPr="00050291" w:rsidRDefault="003D4B84" w:rsidP="009156D8">
      <w:pPr>
        <w:pStyle w:val="BodyCopy"/>
        <w:rPr>
          <w:bCs/>
          <w:color w:val="auto"/>
          <w:sz w:val="20"/>
          <w:szCs w:val="20"/>
        </w:rPr>
      </w:pPr>
      <w:r w:rsidRPr="00050291">
        <w:rPr>
          <w:color w:val="auto"/>
          <w:sz w:val="20"/>
          <w:szCs w:val="20"/>
        </w:rPr>
        <w:t>The objective of increasing community understanding of electoral processes and participation in elections is managed primarily by the Electoral Education Centre. The centre continues to deliver quality education programs to primary and high schools, as well as tertiary and community groups throughout Western Australia.</w:t>
      </w:r>
    </w:p>
    <w:p w:rsidR="003D4B84" w:rsidRPr="00050291" w:rsidRDefault="003D4B84" w:rsidP="003D4B84">
      <w:pPr>
        <w:pStyle w:val="Pa1"/>
        <w:spacing w:before="40" w:after="100"/>
        <w:rPr>
          <w:sz w:val="20"/>
          <w:szCs w:val="20"/>
        </w:rPr>
      </w:pPr>
      <w:r w:rsidRPr="00050291">
        <w:rPr>
          <w:b/>
          <w:bCs/>
          <w:sz w:val="20"/>
          <w:szCs w:val="20"/>
        </w:rPr>
        <w:t xml:space="preserve">Services provided include: </w:t>
      </w:r>
    </w:p>
    <w:p w:rsidR="003D4B84" w:rsidRPr="00050291" w:rsidRDefault="003D4B84" w:rsidP="003D4B84">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various presentations at the Centre to groups and casual visitors </w:t>
      </w:r>
    </w:p>
    <w:p w:rsidR="003D4B84" w:rsidRPr="00050291" w:rsidRDefault="003D4B84" w:rsidP="003D4B84">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external visits to schools, TAFE and community groups </w:t>
      </w:r>
    </w:p>
    <w:p w:rsidR="003D4B84" w:rsidRPr="00050291" w:rsidRDefault="003D4B84" w:rsidP="003D4B84">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conducting student elections </w:t>
      </w:r>
    </w:p>
    <w:p w:rsidR="003D4B84" w:rsidRPr="00050291" w:rsidRDefault="003D4B84" w:rsidP="003D4B84">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participation in a Joint Civics Education program in conjunction with the Constitutional Centre of Western Australia </w:t>
      </w:r>
    </w:p>
    <w:p w:rsidR="003D4B84" w:rsidRPr="00050291" w:rsidRDefault="003D4B84" w:rsidP="003D4B84">
      <w:pPr>
        <w:pStyle w:val="BodyCopy"/>
        <w:ind w:left="426" w:hanging="426"/>
        <w:rPr>
          <w:bCs/>
          <w:color w:val="auto"/>
          <w:sz w:val="20"/>
          <w:szCs w:val="20"/>
        </w:rPr>
      </w:pPr>
      <w:proofErr w:type="gramStart"/>
      <w:r w:rsidRPr="00050291">
        <w:rPr>
          <w:rStyle w:val="A22"/>
          <w:b w:val="0"/>
          <w:bCs w:val="0"/>
          <w:color w:val="auto"/>
          <w:sz w:val="20"/>
          <w:szCs w:val="20"/>
        </w:rPr>
        <w:t>»</w:t>
      </w:r>
      <w:r w:rsidRPr="00050291">
        <w:rPr>
          <w:rStyle w:val="A22"/>
          <w:b w:val="0"/>
          <w:bCs w:val="0"/>
          <w:color w:val="auto"/>
          <w:sz w:val="20"/>
          <w:szCs w:val="20"/>
        </w:rPr>
        <w:tab/>
      </w:r>
      <w:r w:rsidRPr="00050291">
        <w:rPr>
          <w:color w:val="auto"/>
          <w:sz w:val="20"/>
          <w:szCs w:val="20"/>
        </w:rPr>
        <w:t>distribution of ‘Loan Box’ materials to interested schools.</w:t>
      </w:r>
      <w:proofErr w:type="gramEnd"/>
    </w:p>
    <w:p w:rsidR="003D4B84" w:rsidRPr="00050291" w:rsidRDefault="003D4B84" w:rsidP="009156D8">
      <w:pPr>
        <w:pStyle w:val="BodyCopy"/>
        <w:rPr>
          <w:bCs/>
          <w:color w:val="auto"/>
          <w:sz w:val="20"/>
          <w:szCs w:val="20"/>
        </w:rPr>
      </w:pPr>
    </w:p>
    <w:p w:rsidR="003D4B84" w:rsidRPr="00050291" w:rsidRDefault="003D4B84" w:rsidP="003D4B84">
      <w:pPr>
        <w:pStyle w:val="Pa1"/>
        <w:spacing w:before="40" w:after="100"/>
        <w:rPr>
          <w:sz w:val="20"/>
          <w:szCs w:val="20"/>
        </w:rPr>
      </w:pPr>
      <w:r w:rsidRPr="00050291">
        <w:rPr>
          <w:sz w:val="20"/>
          <w:szCs w:val="20"/>
        </w:rPr>
        <w:t xml:space="preserve">Education programs focus on State elections but the centre also provides comprehensive information on federal and local government jurisdictions. During the year presentations were made to 6,714 school students and adults who visited the centre. </w:t>
      </w:r>
    </w:p>
    <w:p w:rsidR="003D4B84" w:rsidRPr="00050291" w:rsidRDefault="003D4B84" w:rsidP="003D4B84">
      <w:pPr>
        <w:pStyle w:val="Pa1"/>
        <w:spacing w:before="40" w:after="100"/>
        <w:rPr>
          <w:sz w:val="20"/>
          <w:szCs w:val="20"/>
        </w:rPr>
      </w:pPr>
      <w:r w:rsidRPr="00050291">
        <w:rPr>
          <w:b/>
          <w:bCs/>
          <w:sz w:val="20"/>
          <w:szCs w:val="20"/>
        </w:rPr>
        <w:t xml:space="preserve">Other activities for the reporting period included: </w:t>
      </w:r>
    </w:p>
    <w:p w:rsidR="003D4B84" w:rsidRPr="00050291" w:rsidRDefault="003D4B84" w:rsidP="0079170D">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the coordination of 77 school council elections involving 16,609 students </w:t>
      </w:r>
    </w:p>
    <w:p w:rsidR="003D4B84" w:rsidRPr="00050291" w:rsidRDefault="003D4B84" w:rsidP="0079170D">
      <w:pPr>
        <w:pStyle w:val="Pa9"/>
        <w:spacing w:before="40" w:after="100"/>
        <w:ind w:left="426" w:hanging="426"/>
        <w:rPr>
          <w:sz w:val="20"/>
          <w:szCs w:val="20"/>
        </w:rPr>
      </w:pPr>
      <w:r w:rsidRPr="00050291">
        <w:rPr>
          <w:rStyle w:val="A22"/>
          <w:b w:val="0"/>
          <w:bCs w:val="0"/>
          <w:color w:val="auto"/>
          <w:sz w:val="20"/>
          <w:szCs w:val="20"/>
        </w:rPr>
        <w:lastRenderedPageBreak/>
        <w:t>»</w:t>
      </w:r>
      <w:r w:rsidRPr="00050291">
        <w:rPr>
          <w:rStyle w:val="A22"/>
          <w:b w:val="0"/>
          <w:bCs w:val="0"/>
          <w:color w:val="auto"/>
          <w:sz w:val="20"/>
          <w:szCs w:val="20"/>
        </w:rPr>
        <w:tab/>
      </w:r>
      <w:r w:rsidRPr="00050291">
        <w:rPr>
          <w:sz w:val="20"/>
          <w:szCs w:val="20"/>
        </w:rPr>
        <w:t xml:space="preserve">presentations to 7,463 primary and secondary students through external school visits in the Perth metropolitan area </w:t>
      </w:r>
    </w:p>
    <w:p w:rsidR="003D4B84" w:rsidRPr="00050291" w:rsidRDefault="003D4B84" w:rsidP="0079170D">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participation by 4,236 students in the Joint Civics Education program </w:t>
      </w:r>
    </w:p>
    <w:p w:rsidR="003D4B84" w:rsidRPr="00050291" w:rsidRDefault="003D4B84" w:rsidP="0079170D">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presentations to 724 TAFE and adult migrant education students </w:t>
      </w:r>
    </w:p>
    <w:p w:rsidR="003D4B84" w:rsidRPr="00050291" w:rsidRDefault="003D4B84" w:rsidP="0079170D">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presentations to student teachers from Edith Cowan, UWA and Notre Dame </w:t>
      </w:r>
      <w:proofErr w:type="gramStart"/>
      <w:r w:rsidRPr="00050291">
        <w:rPr>
          <w:sz w:val="20"/>
          <w:szCs w:val="20"/>
        </w:rPr>
        <w:t>universities</w:t>
      </w:r>
      <w:proofErr w:type="gramEnd"/>
      <w:r w:rsidRPr="00050291">
        <w:rPr>
          <w:sz w:val="20"/>
          <w:szCs w:val="20"/>
        </w:rPr>
        <w:t xml:space="preserve"> as well as teacher professional development sessions </w:t>
      </w:r>
    </w:p>
    <w:p w:rsidR="0009212F" w:rsidRDefault="003D4B84" w:rsidP="0009212F">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presentations to 2,020 students in schools in regional and non-metropolitan areas of Western Australia </w:t>
      </w:r>
    </w:p>
    <w:p w:rsidR="0009212F" w:rsidRPr="00050291" w:rsidRDefault="0009212F" w:rsidP="0009212F">
      <w:pPr>
        <w:pStyle w:val="Pa9"/>
        <w:spacing w:before="40" w:after="100"/>
        <w:ind w:left="426" w:hanging="426"/>
        <w:rPr>
          <w:sz w:val="20"/>
          <w:szCs w:val="20"/>
        </w:rPr>
      </w:pPr>
      <w:proofErr w:type="gramStart"/>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participation in the ‘Loan Box’ program by </w:t>
      </w:r>
      <w:r>
        <w:rPr>
          <w:sz w:val="20"/>
          <w:szCs w:val="20"/>
        </w:rPr>
        <w:br/>
      </w:r>
      <w:r w:rsidRPr="00050291">
        <w:rPr>
          <w:sz w:val="20"/>
          <w:szCs w:val="20"/>
        </w:rPr>
        <w:t>12 individuals from regional schools.</w:t>
      </w:r>
      <w:proofErr w:type="gramEnd"/>
      <w:r w:rsidRPr="00050291">
        <w:rPr>
          <w:sz w:val="20"/>
          <w:szCs w:val="20"/>
        </w:rPr>
        <w:t xml:space="preserve"> </w:t>
      </w:r>
    </w:p>
    <w:p w:rsidR="0009212F" w:rsidRPr="00050291" w:rsidRDefault="0009212F" w:rsidP="0009212F">
      <w:pPr>
        <w:pStyle w:val="Pa1"/>
        <w:spacing w:before="40" w:after="100"/>
        <w:rPr>
          <w:sz w:val="20"/>
          <w:szCs w:val="20"/>
        </w:rPr>
      </w:pPr>
      <w:r w:rsidRPr="00050291">
        <w:rPr>
          <w:sz w:val="20"/>
          <w:szCs w:val="20"/>
        </w:rPr>
        <w:t xml:space="preserve">For 2014–15, a total of 30,786 individuals have taken part in a Commission education program. Feedback from visiting teachers was very positive. </w:t>
      </w:r>
    </w:p>
    <w:p w:rsidR="0009212F" w:rsidRPr="00050291" w:rsidRDefault="0009212F" w:rsidP="0009212F">
      <w:pPr>
        <w:pStyle w:val="Pa1"/>
        <w:spacing w:before="40" w:after="100"/>
        <w:rPr>
          <w:sz w:val="20"/>
          <w:szCs w:val="20"/>
        </w:rPr>
      </w:pPr>
      <w:r w:rsidRPr="00050291">
        <w:rPr>
          <w:b/>
          <w:bCs/>
          <w:sz w:val="20"/>
          <w:szCs w:val="20"/>
        </w:rPr>
        <w:t xml:space="preserve">Education program feedback: </w:t>
      </w:r>
    </w:p>
    <w:p w:rsidR="0009212F" w:rsidRPr="00050291" w:rsidRDefault="0009212F" w:rsidP="0009212F">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83.72% rated the Centre’s programs as extremely effective in meeting necessary educational outcomes. </w:t>
      </w:r>
    </w:p>
    <w:p w:rsidR="0009212F" w:rsidRPr="00050291" w:rsidRDefault="0009212F" w:rsidP="0009212F">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16.18% rated the Centre’s programs as very effective in meeting necessary educational outcomes. </w:t>
      </w:r>
    </w:p>
    <w:p w:rsidR="0009212F" w:rsidRPr="00050291" w:rsidRDefault="0009212F" w:rsidP="0009212F">
      <w:pPr>
        <w:pStyle w:val="Pa9"/>
        <w:spacing w:before="40" w:after="100"/>
        <w:ind w:left="426" w:hanging="426"/>
        <w:rPr>
          <w:sz w:val="20"/>
          <w:szCs w:val="20"/>
        </w:rPr>
      </w:pPr>
      <w:r w:rsidRPr="00050291">
        <w:rPr>
          <w:rStyle w:val="A22"/>
          <w:b w:val="0"/>
          <w:bCs w:val="0"/>
          <w:color w:val="auto"/>
          <w:sz w:val="20"/>
          <w:szCs w:val="20"/>
        </w:rPr>
        <w:t>»</w:t>
      </w:r>
      <w:r w:rsidRPr="00050291">
        <w:rPr>
          <w:rStyle w:val="A22"/>
          <w:b w:val="0"/>
          <w:bCs w:val="0"/>
          <w:color w:val="auto"/>
          <w:sz w:val="20"/>
          <w:szCs w:val="20"/>
        </w:rPr>
        <w:tab/>
      </w:r>
      <w:r w:rsidRPr="00050291">
        <w:rPr>
          <w:sz w:val="20"/>
          <w:szCs w:val="20"/>
        </w:rPr>
        <w:t xml:space="preserve">No negative feedback was received in relation to the Centre’s programs. </w:t>
      </w:r>
    </w:p>
    <w:p w:rsidR="0079170D" w:rsidRPr="0098393B" w:rsidRDefault="0079170D" w:rsidP="00531416">
      <w:pPr>
        <w:pStyle w:val="Heading1AR"/>
        <w:spacing w:before="240"/>
      </w:pPr>
      <w:r w:rsidRPr="0098393B">
        <w:t xml:space="preserve">KEY RESULT AREA 1 </w:t>
      </w:r>
    </w:p>
    <w:p w:rsidR="00E879A2" w:rsidRPr="00531416" w:rsidRDefault="0079170D" w:rsidP="00531416">
      <w:pPr>
        <w:pStyle w:val="Heading2ARtitlecase"/>
        <w:rPr>
          <w:rStyle w:val="A15"/>
        </w:rPr>
      </w:pPr>
      <w:r w:rsidRPr="00531416">
        <w:rPr>
          <w:rStyle w:val="A15"/>
        </w:rPr>
        <w:t>OUR CLIENTS</w:t>
      </w:r>
    </w:p>
    <w:p w:rsidR="0079170D" w:rsidRPr="00050291" w:rsidRDefault="0079170D" w:rsidP="00E879A2">
      <w:pPr>
        <w:pStyle w:val="BodyCopy"/>
        <w:rPr>
          <w:rFonts w:cs="Myriad Pro"/>
          <w:color w:val="auto"/>
          <w:sz w:val="20"/>
          <w:szCs w:val="20"/>
        </w:rPr>
      </w:pPr>
      <w:r w:rsidRPr="00050291">
        <w:rPr>
          <w:rFonts w:cs="Myriad Pro"/>
          <w:color w:val="auto"/>
          <w:sz w:val="20"/>
          <w:szCs w:val="20"/>
        </w:rPr>
        <w:t>The Commission has a diverse client base including Members of Parliament and political parties, candidates for parliamentary, local government and fee for service elections, schools, indigenous and ethnic communities and individual electors. Stakeholder engagement is therefore a priority in all activities we undertake.</w:t>
      </w:r>
    </w:p>
    <w:p w:rsidR="0079170D" w:rsidRPr="00050291" w:rsidRDefault="0079170D" w:rsidP="00531416">
      <w:pPr>
        <w:pStyle w:val="Heading4AR"/>
      </w:pPr>
      <w:r w:rsidRPr="00050291">
        <w:t xml:space="preserve">SERVICES TO POLITICAL PARTIES AND CANDIDATES </w:t>
      </w:r>
    </w:p>
    <w:p w:rsidR="0079170D" w:rsidRPr="00050291" w:rsidRDefault="0079170D" w:rsidP="0079170D">
      <w:pPr>
        <w:pStyle w:val="BodyCopy"/>
        <w:rPr>
          <w:color w:val="auto"/>
          <w:sz w:val="20"/>
          <w:szCs w:val="20"/>
        </w:rPr>
      </w:pPr>
      <w:r w:rsidRPr="00050291">
        <w:rPr>
          <w:color w:val="auto"/>
          <w:sz w:val="20"/>
          <w:szCs w:val="20"/>
        </w:rPr>
        <w:t xml:space="preserve">During both the </w:t>
      </w:r>
      <w:proofErr w:type="spellStart"/>
      <w:r w:rsidRPr="00050291">
        <w:rPr>
          <w:color w:val="auto"/>
          <w:sz w:val="20"/>
          <w:szCs w:val="20"/>
        </w:rPr>
        <w:t>Vasse</w:t>
      </w:r>
      <w:proofErr w:type="spellEnd"/>
      <w:r w:rsidRPr="00050291">
        <w:rPr>
          <w:color w:val="auto"/>
          <w:sz w:val="20"/>
          <w:szCs w:val="20"/>
        </w:rPr>
        <w:t xml:space="preserve"> by-election and the North Metropolitan Region re-count the Commission provided support and assistance to political parties and candidates in relation to nominations and meeting financial disclosure obligations. Public funding payments for the </w:t>
      </w:r>
      <w:proofErr w:type="spellStart"/>
      <w:r w:rsidRPr="00050291">
        <w:rPr>
          <w:color w:val="auto"/>
          <w:sz w:val="20"/>
          <w:szCs w:val="20"/>
        </w:rPr>
        <w:t>Vasse</w:t>
      </w:r>
      <w:proofErr w:type="spellEnd"/>
      <w:r w:rsidRPr="00050291">
        <w:rPr>
          <w:color w:val="auto"/>
          <w:sz w:val="20"/>
          <w:szCs w:val="20"/>
        </w:rPr>
        <w:t xml:space="preserve"> by-election were finalised in February 2015, with a total of $32,797.64 paid to the three eligible political parties that submitted claims for electoral reimbursement to the Commission. Other than changes in the appointment of party agents, there were no changes to registered political parties during the reporting period.</w:t>
      </w:r>
    </w:p>
    <w:p w:rsidR="0079170D" w:rsidRPr="00050291" w:rsidRDefault="0079170D" w:rsidP="00531416">
      <w:pPr>
        <w:pStyle w:val="Heading4AR"/>
      </w:pPr>
      <w:r w:rsidRPr="00050291">
        <w:t xml:space="preserve">SPECIALIST ELECTOR SERVICES </w:t>
      </w:r>
    </w:p>
    <w:p w:rsidR="0079170D" w:rsidRPr="00050291" w:rsidRDefault="0079170D" w:rsidP="0079170D">
      <w:pPr>
        <w:pStyle w:val="BodyCopy"/>
        <w:rPr>
          <w:color w:val="auto"/>
          <w:sz w:val="20"/>
          <w:szCs w:val="20"/>
        </w:rPr>
      </w:pPr>
      <w:r w:rsidRPr="00050291">
        <w:rPr>
          <w:color w:val="auto"/>
          <w:sz w:val="20"/>
          <w:szCs w:val="20"/>
        </w:rPr>
        <w:t>A key priority during the year was the enhancement of services to culturally and linguistically diverse (</w:t>
      </w:r>
      <w:proofErr w:type="spellStart"/>
      <w:r w:rsidRPr="00050291">
        <w:rPr>
          <w:color w:val="auto"/>
          <w:sz w:val="20"/>
          <w:szCs w:val="20"/>
        </w:rPr>
        <w:t>CaLD</w:t>
      </w:r>
      <w:proofErr w:type="spellEnd"/>
      <w:r w:rsidRPr="00050291">
        <w:rPr>
          <w:color w:val="auto"/>
          <w:sz w:val="20"/>
          <w:szCs w:val="20"/>
        </w:rPr>
        <w:t xml:space="preserve">) electors. For example, it is evident that electoral districts with higher concentrations of </w:t>
      </w:r>
      <w:proofErr w:type="spellStart"/>
      <w:r w:rsidRPr="00050291">
        <w:rPr>
          <w:color w:val="auto"/>
          <w:sz w:val="20"/>
          <w:szCs w:val="20"/>
        </w:rPr>
        <w:t>CaLD</w:t>
      </w:r>
      <w:proofErr w:type="spellEnd"/>
      <w:r w:rsidRPr="00050291">
        <w:rPr>
          <w:color w:val="auto"/>
          <w:sz w:val="20"/>
          <w:szCs w:val="20"/>
        </w:rPr>
        <w:t xml:space="preserve"> electors are typically recording higher than average rates of informality. The Commission carefully monitored initiatives in other jurisdictions to improve service delivery to </w:t>
      </w:r>
      <w:proofErr w:type="spellStart"/>
      <w:r w:rsidRPr="00050291">
        <w:rPr>
          <w:color w:val="auto"/>
          <w:sz w:val="20"/>
          <w:szCs w:val="20"/>
        </w:rPr>
        <w:t>CaLD</w:t>
      </w:r>
      <w:proofErr w:type="spellEnd"/>
      <w:r w:rsidRPr="00050291">
        <w:rPr>
          <w:color w:val="auto"/>
          <w:sz w:val="20"/>
          <w:szCs w:val="20"/>
        </w:rPr>
        <w:t xml:space="preserve"> electors; visited and consulted with various community organisations, peak bodies and representatives from particular language or ethnic groups; and conducted a successful </w:t>
      </w:r>
      <w:proofErr w:type="spellStart"/>
      <w:r w:rsidRPr="00050291">
        <w:rPr>
          <w:color w:val="auto"/>
          <w:sz w:val="20"/>
          <w:szCs w:val="20"/>
        </w:rPr>
        <w:t>CaLD</w:t>
      </w:r>
      <w:proofErr w:type="spellEnd"/>
      <w:r w:rsidRPr="00050291">
        <w:rPr>
          <w:color w:val="auto"/>
          <w:sz w:val="20"/>
          <w:szCs w:val="20"/>
        </w:rPr>
        <w:t xml:space="preserve"> </w:t>
      </w:r>
      <w:proofErr w:type="gramStart"/>
      <w:r w:rsidRPr="00050291">
        <w:rPr>
          <w:color w:val="auto"/>
          <w:sz w:val="20"/>
          <w:szCs w:val="20"/>
        </w:rPr>
        <w:t>electors</w:t>
      </w:r>
      <w:proofErr w:type="gramEnd"/>
      <w:r w:rsidRPr="00050291">
        <w:rPr>
          <w:color w:val="auto"/>
          <w:sz w:val="20"/>
          <w:szCs w:val="20"/>
        </w:rPr>
        <w:t xml:space="preserve"> consultative forum. These activities provided invaluable insight into the barriers and issues confronting </w:t>
      </w:r>
      <w:proofErr w:type="spellStart"/>
      <w:r w:rsidRPr="00050291">
        <w:rPr>
          <w:color w:val="auto"/>
          <w:sz w:val="20"/>
          <w:szCs w:val="20"/>
        </w:rPr>
        <w:t>CaLD</w:t>
      </w:r>
      <w:proofErr w:type="spellEnd"/>
      <w:r w:rsidRPr="00050291">
        <w:rPr>
          <w:color w:val="auto"/>
          <w:sz w:val="20"/>
          <w:szCs w:val="20"/>
        </w:rPr>
        <w:t xml:space="preserve"> electors, allowing the Commission to better target electoral information and services at electoral events. The Commission has also continued to work with Indigenous Electoral Participation Program officers from the Australian Electoral Commission to promote and deliver improved enrolment and electoral services to Aboriginal electors. The Commission also arranged an indigenous cultural awareness training event for its staff as part of National Reconciliation Week.</w:t>
      </w:r>
    </w:p>
    <w:p w:rsidR="0098393B" w:rsidRPr="00050291" w:rsidRDefault="0079170D" w:rsidP="00531416">
      <w:pPr>
        <w:pStyle w:val="Heading1AR"/>
      </w:pPr>
      <w:r w:rsidRPr="00050291">
        <w:t xml:space="preserve">KEY RESULT AREA 2 </w:t>
      </w:r>
    </w:p>
    <w:p w:rsidR="0079170D" w:rsidRPr="00531416" w:rsidRDefault="0079170D" w:rsidP="0079170D">
      <w:pPr>
        <w:pStyle w:val="BodyCopy"/>
        <w:rPr>
          <w:rStyle w:val="A16"/>
        </w:rPr>
      </w:pPr>
      <w:r w:rsidRPr="00531416">
        <w:rPr>
          <w:rStyle w:val="A16"/>
        </w:rPr>
        <w:t>OUR PEOPLE</w:t>
      </w:r>
    </w:p>
    <w:p w:rsidR="0079170D" w:rsidRPr="00050291" w:rsidRDefault="0079170D" w:rsidP="0079170D">
      <w:pPr>
        <w:pStyle w:val="BodyCopy"/>
        <w:rPr>
          <w:rFonts w:cs="Myriad Pro"/>
          <w:color w:val="auto"/>
          <w:sz w:val="20"/>
          <w:szCs w:val="20"/>
        </w:rPr>
      </w:pPr>
      <w:r w:rsidRPr="00050291">
        <w:rPr>
          <w:rFonts w:cs="Myriad Pro"/>
          <w:color w:val="auto"/>
          <w:sz w:val="20"/>
          <w:szCs w:val="20"/>
        </w:rPr>
        <w:t>As a small agency the Commission faces a challenge in recruiting staff in competition with larger departments and the private sector. To meet that challenge we set out to be an employer of choice, providing interesting projects, training and development opportunities, recognising outstanding performance and maintaining a family friendly workplace.</w:t>
      </w:r>
    </w:p>
    <w:p w:rsidR="0079170D" w:rsidRPr="00050291" w:rsidRDefault="0079170D" w:rsidP="0079170D">
      <w:pPr>
        <w:pStyle w:val="Pa1"/>
        <w:spacing w:before="40" w:after="100"/>
        <w:rPr>
          <w:sz w:val="20"/>
          <w:szCs w:val="20"/>
        </w:rPr>
      </w:pPr>
      <w:r w:rsidRPr="00050291">
        <w:rPr>
          <w:sz w:val="20"/>
          <w:szCs w:val="20"/>
        </w:rPr>
        <w:t xml:space="preserve">The lengthy service history of many staff is testament to the fulfilment that </w:t>
      </w:r>
      <w:proofErr w:type="gramStart"/>
      <w:r w:rsidRPr="00050291">
        <w:rPr>
          <w:sz w:val="20"/>
          <w:szCs w:val="20"/>
        </w:rPr>
        <w:t>staff are</w:t>
      </w:r>
      <w:proofErr w:type="gramEnd"/>
      <w:r w:rsidRPr="00050291">
        <w:rPr>
          <w:sz w:val="20"/>
          <w:szCs w:val="20"/>
        </w:rPr>
        <w:t xml:space="preserve"> able to achieve managing challenging electoral events. Individual staff participated in a wide range of specific skills training courses and attended various seminars courses and conferences for the purpose of professional development. Key activities </w:t>
      </w:r>
      <w:r w:rsidRPr="00050291">
        <w:rPr>
          <w:sz w:val="20"/>
          <w:szCs w:val="20"/>
        </w:rPr>
        <w:lastRenderedPageBreak/>
        <w:t xml:space="preserve">included a Mental Health in the Workplace course, training for all staff on accountable and ethical decision making and training of casual staff in the forthcoming 2015 local government ordinary elections. </w:t>
      </w:r>
    </w:p>
    <w:p w:rsidR="0079170D" w:rsidRPr="00050291" w:rsidRDefault="0079170D" w:rsidP="00531416">
      <w:pPr>
        <w:pStyle w:val="Heading4AR"/>
      </w:pPr>
      <w:r w:rsidRPr="00050291">
        <w:t xml:space="preserve">STAFF PROFILE </w:t>
      </w:r>
    </w:p>
    <w:p w:rsidR="0079170D" w:rsidRPr="00050291" w:rsidRDefault="0079170D" w:rsidP="0079170D">
      <w:pPr>
        <w:pStyle w:val="BodyCopy"/>
        <w:rPr>
          <w:color w:val="auto"/>
          <w:sz w:val="20"/>
          <w:szCs w:val="20"/>
        </w:rPr>
      </w:pPr>
      <w:r w:rsidRPr="00050291">
        <w:rPr>
          <w:color w:val="auto"/>
          <w:sz w:val="20"/>
          <w:szCs w:val="20"/>
        </w:rPr>
        <w:t xml:space="preserve">Currently the Commission employs 51 full or part time staff plus 1 School Based Trainee. This figure includes staff seconded from other agencies and staff assigned to temporary roles within the Office of the Electoral Distribution Commissioners. Additional casual </w:t>
      </w:r>
      <w:proofErr w:type="gramStart"/>
      <w:r w:rsidRPr="00050291">
        <w:rPr>
          <w:color w:val="auto"/>
          <w:sz w:val="20"/>
          <w:szCs w:val="20"/>
        </w:rPr>
        <w:t>staff are</w:t>
      </w:r>
      <w:proofErr w:type="gramEnd"/>
      <w:r w:rsidRPr="00050291">
        <w:rPr>
          <w:color w:val="auto"/>
          <w:sz w:val="20"/>
          <w:szCs w:val="20"/>
        </w:rPr>
        <w:t xml:space="preserve"> employed during peaks of election activity.</w:t>
      </w:r>
    </w:p>
    <w:p w:rsidR="0098393B" w:rsidRPr="0098393B" w:rsidRDefault="0079170D" w:rsidP="00531416">
      <w:pPr>
        <w:pStyle w:val="Heading1AR"/>
        <w:spacing w:before="240"/>
      </w:pPr>
      <w:r w:rsidRPr="0098393B">
        <w:t xml:space="preserve">KEY RESULT AREA 3 </w:t>
      </w:r>
    </w:p>
    <w:p w:rsidR="0079170D" w:rsidRPr="00531416" w:rsidRDefault="0079170D" w:rsidP="0079170D">
      <w:pPr>
        <w:pStyle w:val="BodyCopy"/>
        <w:rPr>
          <w:rStyle w:val="A16"/>
        </w:rPr>
      </w:pPr>
      <w:r w:rsidRPr="00531416">
        <w:rPr>
          <w:rStyle w:val="A16"/>
        </w:rPr>
        <w:t>THE ORGANISATION</w:t>
      </w:r>
    </w:p>
    <w:p w:rsidR="0079170D" w:rsidRPr="00050291" w:rsidRDefault="0079170D" w:rsidP="0079170D">
      <w:pPr>
        <w:pStyle w:val="BodyCopy"/>
        <w:rPr>
          <w:rFonts w:cs="Myriad Pro"/>
          <w:color w:val="auto"/>
          <w:sz w:val="20"/>
          <w:szCs w:val="20"/>
        </w:rPr>
      </w:pPr>
      <w:r w:rsidRPr="00050291">
        <w:rPr>
          <w:rFonts w:cs="Myriad Pro"/>
          <w:color w:val="auto"/>
          <w:sz w:val="20"/>
          <w:szCs w:val="20"/>
        </w:rPr>
        <w:t>The Commission’s overall governance, overseen by the Electoral Commissioner and Corporate Executive, follows the following key principles:</w:t>
      </w:r>
    </w:p>
    <w:p w:rsidR="0098393B" w:rsidRPr="00050291" w:rsidRDefault="0079170D" w:rsidP="0098393B">
      <w:pPr>
        <w:pStyle w:val="Pa14"/>
        <w:tabs>
          <w:tab w:val="left" w:pos="426"/>
        </w:tabs>
        <w:spacing w:after="60"/>
        <w:ind w:left="425" w:hanging="425"/>
        <w:rPr>
          <w:sz w:val="20"/>
          <w:szCs w:val="20"/>
        </w:rPr>
      </w:pPr>
      <w:r w:rsidRPr="00050291">
        <w:rPr>
          <w:rStyle w:val="A22"/>
          <w:b w:val="0"/>
          <w:bCs w:val="0"/>
          <w:color w:val="auto"/>
          <w:sz w:val="20"/>
          <w:szCs w:val="20"/>
        </w:rPr>
        <w:t>»</w:t>
      </w:r>
      <w:r w:rsidRPr="00050291">
        <w:rPr>
          <w:rStyle w:val="A22"/>
          <w:color w:val="auto"/>
          <w:sz w:val="20"/>
          <w:szCs w:val="20"/>
        </w:rPr>
        <w:t>»</w:t>
      </w:r>
      <w:r w:rsidR="0098393B" w:rsidRPr="00050291">
        <w:rPr>
          <w:rStyle w:val="A22"/>
          <w:color w:val="auto"/>
          <w:sz w:val="20"/>
          <w:szCs w:val="20"/>
        </w:rPr>
        <w:tab/>
      </w:r>
      <w:r w:rsidRPr="00050291">
        <w:rPr>
          <w:sz w:val="20"/>
          <w:szCs w:val="20"/>
        </w:rPr>
        <w:t xml:space="preserve">adherence to corporate and public sector codes of conduct; </w:t>
      </w:r>
    </w:p>
    <w:p w:rsidR="0098393B" w:rsidRPr="00050291" w:rsidRDefault="0079170D" w:rsidP="0098393B">
      <w:pPr>
        <w:pStyle w:val="Pa14"/>
        <w:tabs>
          <w:tab w:val="left" w:pos="426"/>
        </w:tabs>
        <w:spacing w:after="60"/>
        <w:ind w:left="425" w:hanging="425"/>
        <w:rPr>
          <w:sz w:val="20"/>
          <w:szCs w:val="20"/>
        </w:rPr>
      </w:pPr>
      <w:r w:rsidRPr="00050291">
        <w:rPr>
          <w:rStyle w:val="A22"/>
          <w:b w:val="0"/>
          <w:bCs w:val="0"/>
          <w:color w:val="auto"/>
          <w:sz w:val="20"/>
          <w:szCs w:val="20"/>
        </w:rPr>
        <w:t>»</w:t>
      </w:r>
      <w:r w:rsidRPr="00050291">
        <w:rPr>
          <w:rStyle w:val="A22"/>
          <w:color w:val="auto"/>
          <w:sz w:val="20"/>
          <w:szCs w:val="20"/>
        </w:rPr>
        <w:t>»</w:t>
      </w:r>
      <w:r w:rsidR="0098393B" w:rsidRPr="00050291">
        <w:rPr>
          <w:rStyle w:val="A22"/>
          <w:color w:val="auto"/>
          <w:sz w:val="20"/>
          <w:szCs w:val="20"/>
        </w:rPr>
        <w:tab/>
      </w:r>
      <w:r w:rsidRPr="00050291">
        <w:rPr>
          <w:sz w:val="20"/>
          <w:szCs w:val="20"/>
        </w:rPr>
        <w:t>ensuring effective internal checks and controls and the implementation of recommendations from i</w:t>
      </w:r>
      <w:r w:rsidR="0098393B" w:rsidRPr="00050291">
        <w:rPr>
          <w:sz w:val="20"/>
          <w:szCs w:val="20"/>
        </w:rPr>
        <w:t>nternal and external auditors;</w:t>
      </w:r>
    </w:p>
    <w:p w:rsidR="0098393B" w:rsidRPr="00050291" w:rsidRDefault="0079170D" w:rsidP="0098393B">
      <w:pPr>
        <w:pStyle w:val="Pa14"/>
        <w:tabs>
          <w:tab w:val="left" w:pos="426"/>
        </w:tabs>
        <w:spacing w:after="60"/>
        <w:ind w:left="425" w:hanging="425"/>
        <w:rPr>
          <w:sz w:val="20"/>
          <w:szCs w:val="20"/>
        </w:rPr>
      </w:pPr>
      <w:r w:rsidRPr="00050291">
        <w:rPr>
          <w:rStyle w:val="A22"/>
          <w:b w:val="0"/>
          <w:bCs w:val="0"/>
          <w:color w:val="auto"/>
          <w:sz w:val="20"/>
          <w:szCs w:val="20"/>
        </w:rPr>
        <w:t>»</w:t>
      </w:r>
      <w:r w:rsidRPr="00050291">
        <w:rPr>
          <w:rStyle w:val="A22"/>
          <w:color w:val="auto"/>
          <w:sz w:val="20"/>
          <w:szCs w:val="20"/>
        </w:rPr>
        <w:t>»</w:t>
      </w:r>
      <w:r w:rsidR="0098393B" w:rsidRPr="00050291">
        <w:rPr>
          <w:rStyle w:val="A22"/>
          <w:color w:val="auto"/>
          <w:sz w:val="20"/>
          <w:szCs w:val="20"/>
        </w:rPr>
        <w:tab/>
      </w:r>
      <w:r w:rsidRPr="00050291">
        <w:rPr>
          <w:sz w:val="20"/>
          <w:szCs w:val="20"/>
        </w:rPr>
        <w:t>continual monitoring and review of risk management strategies;</w:t>
      </w:r>
    </w:p>
    <w:p w:rsidR="0098393B" w:rsidRPr="00050291" w:rsidRDefault="0079170D" w:rsidP="0098393B">
      <w:pPr>
        <w:pStyle w:val="Pa14"/>
        <w:tabs>
          <w:tab w:val="left" w:pos="426"/>
        </w:tabs>
        <w:spacing w:after="60"/>
        <w:ind w:left="425" w:hanging="425"/>
        <w:rPr>
          <w:sz w:val="20"/>
          <w:szCs w:val="20"/>
        </w:rPr>
      </w:pPr>
      <w:r w:rsidRPr="00050291">
        <w:rPr>
          <w:rStyle w:val="A22"/>
          <w:b w:val="0"/>
          <w:bCs w:val="0"/>
          <w:color w:val="auto"/>
          <w:sz w:val="20"/>
          <w:szCs w:val="20"/>
        </w:rPr>
        <w:t>»</w:t>
      </w:r>
      <w:r w:rsidRPr="00050291">
        <w:rPr>
          <w:rStyle w:val="A22"/>
          <w:color w:val="auto"/>
          <w:sz w:val="20"/>
          <w:szCs w:val="20"/>
        </w:rPr>
        <w:t>»</w:t>
      </w:r>
      <w:r w:rsidR="0098393B" w:rsidRPr="00050291">
        <w:rPr>
          <w:rStyle w:val="A22"/>
          <w:color w:val="auto"/>
          <w:sz w:val="20"/>
          <w:szCs w:val="20"/>
        </w:rPr>
        <w:tab/>
      </w:r>
      <w:r w:rsidRPr="00050291">
        <w:rPr>
          <w:sz w:val="20"/>
          <w:szCs w:val="20"/>
        </w:rPr>
        <w:t xml:space="preserve">regular monitoring of financial and operational performance; </w:t>
      </w:r>
    </w:p>
    <w:p w:rsidR="0098393B" w:rsidRPr="00050291" w:rsidRDefault="0079170D" w:rsidP="0098393B">
      <w:pPr>
        <w:pStyle w:val="Pa14"/>
        <w:tabs>
          <w:tab w:val="left" w:pos="426"/>
        </w:tabs>
        <w:spacing w:after="60"/>
        <w:ind w:left="425" w:hanging="425"/>
        <w:rPr>
          <w:sz w:val="20"/>
          <w:szCs w:val="20"/>
        </w:rPr>
      </w:pPr>
      <w:r w:rsidRPr="00050291">
        <w:rPr>
          <w:rStyle w:val="A22"/>
          <w:b w:val="0"/>
          <w:bCs w:val="0"/>
          <w:color w:val="auto"/>
          <w:sz w:val="20"/>
          <w:szCs w:val="20"/>
        </w:rPr>
        <w:t>»</w:t>
      </w:r>
      <w:r w:rsidRPr="00050291">
        <w:rPr>
          <w:rStyle w:val="A22"/>
          <w:color w:val="auto"/>
          <w:sz w:val="20"/>
          <w:szCs w:val="20"/>
        </w:rPr>
        <w:t>»</w:t>
      </w:r>
      <w:r w:rsidR="0098393B" w:rsidRPr="00050291">
        <w:rPr>
          <w:rStyle w:val="A22"/>
          <w:color w:val="auto"/>
          <w:sz w:val="20"/>
          <w:szCs w:val="20"/>
        </w:rPr>
        <w:tab/>
      </w:r>
      <w:r w:rsidRPr="00050291">
        <w:rPr>
          <w:sz w:val="20"/>
          <w:szCs w:val="20"/>
        </w:rPr>
        <w:t>clear links between annual operational plans and the Commission’</w:t>
      </w:r>
      <w:r w:rsidR="0098393B" w:rsidRPr="00050291">
        <w:rPr>
          <w:sz w:val="20"/>
          <w:szCs w:val="20"/>
        </w:rPr>
        <w:t xml:space="preserve">s over-arching Strategic Plan; </w:t>
      </w:r>
    </w:p>
    <w:p w:rsidR="0098393B" w:rsidRPr="00050291" w:rsidRDefault="0079170D" w:rsidP="0098393B">
      <w:pPr>
        <w:pStyle w:val="Pa14"/>
        <w:tabs>
          <w:tab w:val="left" w:pos="426"/>
        </w:tabs>
        <w:spacing w:after="60"/>
        <w:ind w:left="425" w:hanging="425"/>
        <w:rPr>
          <w:sz w:val="20"/>
          <w:szCs w:val="20"/>
        </w:rPr>
      </w:pPr>
      <w:r w:rsidRPr="00050291">
        <w:rPr>
          <w:rStyle w:val="A22"/>
          <w:b w:val="0"/>
          <w:bCs w:val="0"/>
          <w:color w:val="auto"/>
          <w:sz w:val="20"/>
          <w:szCs w:val="20"/>
        </w:rPr>
        <w:t>»</w:t>
      </w:r>
      <w:r w:rsidRPr="00050291">
        <w:rPr>
          <w:rStyle w:val="A22"/>
          <w:color w:val="auto"/>
          <w:sz w:val="20"/>
          <w:szCs w:val="20"/>
        </w:rPr>
        <w:t>»</w:t>
      </w:r>
      <w:r w:rsidR="0098393B" w:rsidRPr="00050291">
        <w:rPr>
          <w:rStyle w:val="A22"/>
          <w:color w:val="auto"/>
          <w:sz w:val="20"/>
          <w:szCs w:val="20"/>
        </w:rPr>
        <w:tab/>
      </w:r>
      <w:r w:rsidRPr="00050291">
        <w:rPr>
          <w:sz w:val="20"/>
          <w:szCs w:val="20"/>
        </w:rPr>
        <w:t>open and transparent communicat</w:t>
      </w:r>
      <w:r w:rsidR="0098393B" w:rsidRPr="00050291">
        <w:rPr>
          <w:sz w:val="20"/>
          <w:szCs w:val="20"/>
        </w:rPr>
        <w:t>ion; and</w:t>
      </w:r>
    </w:p>
    <w:p w:rsidR="0079170D" w:rsidRPr="00050291" w:rsidRDefault="0079170D" w:rsidP="0098393B">
      <w:pPr>
        <w:pStyle w:val="Pa14"/>
        <w:tabs>
          <w:tab w:val="left" w:pos="426"/>
        </w:tabs>
        <w:spacing w:after="60"/>
        <w:ind w:left="425" w:hanging="425"/>
        <w:rPr>
          <w:sz w:val="20"/>
          <w:szCs w:val="20"/>
        </w:rPr>
      </w:pPr>
      <w:proofErr w:type="gramStart"/>
      <w:r w:rsidRPr="00050291">
        <w:rPr>
          <w:rStyle w:val="A22"/>
          <w:b w:val="0"/>
          <w:bCs w:val="0"/>
          <w:color w:val="auto"/>
          <w:sz w:val="20"/>
          <w:szCs w:val="20"/>
        </w:rPr>
        <w:t>»</w:t>
      </w:r>
      <w:r w:rsidRPr="00050291">
        <w:rPr>
          <w:rStyle w:val="A22"/>
          <w:color w:val="auto"/>
          <w:sz w:val="20"/>
          <w:szCs w:val="20"/>
        </w:rPr>
        <w:t>»</w:t>
      </w:r>
      <w:r w:rsidR="0098393B" w:rsidRPr="00050291">
        <w:rPr>
          <w:rStyle w:val="A22"/>
          <w:color w:val="auto"/>
          <w:sz w:val="20"/>
          <w:szCs w:val="20"/>
        </w:rPr>
        <w:tab/>
      </w:r>
      <w:r w:rsidRPr="00050291">
        <w:rPr>
          <w:sz w:val="20"/>
          <w:szCs w:val="20"/>
        </w:rPr>
        <w:t>knowledge sharing, mentoring and succession planning.</w:t>
      </w:r>
      <w:proofErr w:type="gramEnd"/>
    </w:p>
    <w:p w:rsidR="00050291" w:rsidRPr="00050291" w:rsidRDefault="0079170D" w:rsidP="00531416">
      <w:pPr>
        <w:pStyle w:val="Heading4AR"/>
      </w:pPr>
      <w:r w:rsidRPr="00050291">
        <w:t>QU</w:t>
      </w:r>
      <w:r w:rsidR="00050291" w:rsidRPr="00050291">
        <w:t xml:space="preserve">ALITY MANAGEMENT AND ASSURANCE </w:t>
      </w:r>
    </w:p>
    <w:p w:rsidR="0079170D" w:rsidRPr="00050291" w:rsidRDefault="0079170D" w:rsidP="00050291">
      <w:pPr>
        <w:pStyle w:val="Pa12"/>
        <w:spacing w:before="40"/>
        <w:rPr>
          <w:sz w:val="20"/>
          <w:szCs w:val="20"/>
        </w:rPr>
      </w:pPr>
      <w:r w:rsidRPr="00050291">
        <w:rPr>
          <w:sz w:val="20"/>
          <w:szCs w:val="20"/>
        </w:rPr>
        <w:t xml:space="preserve">Under the Commission’s Quality Management Policy and ‘AS/NZS ISO 9001:2008 Quality Management System’, election and enrolment services are certified and audited to international quality assurance standards by BSI Management Systems (BSI). Certificates of Approval confirm that management systems comply with the requirements of the quality assurance standard for core electoral activities. The certificates remain valid for three years with yearly inspections by the Commission’s external auditors (BSI). </w:t>
      </w:r>
    </w:p>
    <w:p w:rsidR="0079170D" w:rsidRPr="00050291" w:rsidRDefault="0079170D" w:rsidP="00775899">
      <w:pPr>
        <w:pStyle w:val="Pa1"/>
        <w:spacing w:before="120" w:after="100"/>
        <w:rPr>
          <w:sz w:val="20"/>
          <w:szCs w:val="20"/>
        </w:rPr>
      </w:pPr>
      <w:r w:rsidRPr="00050291">
        <w:rPr>
          <w:sz w:val="20"/>
          <w:szCs w:val="20"/>
        </w:rPr>
        <w:t xml:space="preserve">In June 2015 a recertification of the Commission’s quality management system was conducted. BSI found that the Commission’s quality assurance system was very well managed and recommended that the recertification continue until July 2017. No non-compliance matters were identified. </w:t>
      </w:r>
    </w:p>
    <w:p w:rsidR="0079170D" w:rsidRPr="00050291" w:rsidRDefault="0079170D" w:rsidP="0079170D">
      <w:pPr>
        <w:pStyle w:val="Pa1"/>
        <w:spacing w:before="40" w:after="100"/>
        <w:rPr>
          <w:sz w:val="20"/>
          <w:szCs w:val="20"/>
        </w:rPr>
      </w:pPr>
      <w:r w:rsidRPr="00050291">
        <w:rPr>
          <w:sz w:val="20"/>
          <w:szCs w:val="20"/>
        </w:rPr>
        <w:t xml:space="preserve">The Commission continues to demonstrate its commitment to quality assurance by having 17 trained internal auditors (out of 51 staff). In 2014–15 an internal audit schedule was established involving nine separate audits of key election activities such as enrolment, distribution, planning and invoicing. All audit findings that requested improvement to systems or processes were executed via the Commission’s Business Improvement Register. This Register ensures that all audit recommendations are tracked and acted upon. </w:t>
      </w:r>
    </w:p>
    <w:p w:rsidR="0079170D" w:rsidRPr="00050291" w:rsidRDefault="0079170D" w:rsidP="0079170D">
      <w:pPr>
        <w:pStyle w:val="BodyCopy"/>
        <w:rPr>
          <w:color w:val="auto"/>
          <w:sz w:val="20"/>
          <w:szCs w:val="20"/>
        </w:rPr>
      </w:pPr>
      <w:r w:rsidRPr="00050291">
        <w:rPr>
          <w:color w:val="auto"/>
          <w:sz w:val="20"/>
          <w:szCs w:val="20"/>
        </w:rPr>
        <w:t>T</w:t>
      </w:r>
      <w:r w:rsidRPr="00050291">
        <w:rPr>
          <w:color w:val="000000" w:themeColor="text1"/>
          <w:sz w:val="20"/>
          <w:szCs w:val="20"/>
        </w:rPr>
        <w:t>he Quality Assurance Management Review Committee conducted monthly meetings throughout the year and has made major improvements to the Commission’s quality manag</w:t>
      </w:r>
      <w:r w:rsidRPr="00050291">
        <w:rPr>
          <w:color w:val="auto"/>
          <w:sz w:val="20"/>
          <w:szCs w:val="20"/>
        </w:rPr>
        <w:t>ement system.</w:t>
      </w:r>
    </w:p>
    <w:p w:rsidR="00186508" w:rsidRPr="00050291" w:rsidRDefault="00186508" w:rsidP="00531416">
      <w:pPr>
        <w:pStyle w:val="Heading4AR"/>
      </w:pPr>
      <w:r w:rsidRPr="00050291">
        <w:t xml:space="preserve">FINANCIAL MANAGEMENT </w:t>
      </w:r>
    </w:p>
    <w:p w:rsidR="00186508" w:rsidRPr="00050291" w:rsidRDefault="00186508" w:rsidP="00186508">
      <w:pPr>
        <w:autoSpaceDE w:val="0"/>
        <w:autoSpaceDN w:val="0"/>
        <w:adjustRightInd w:val="0"/>
        <w:spacing w:before="40" w:after="100" w:line="191" w:lineRule="atLeast"/>
        <w:rPr>
          <w:rFonts w:ascii="Arial" w:hAnsi="Arial" w:cs="Arial"/>
          <w:sz w:val="20"/>
          <w:szCs w:val="20"/>
        </w:rPr>
      </w:pPr>
      <w:r w:rsidRPr="00050291">
        <w:rPr>
          <w:rFonts w:ascii="Arial" w:hAnsi="Arial" w:cs="Arial"/>
          <w:sz w:val="20"/>
          <w:szCs w:val="20"/>
        </w:rPr>
        <w:t xml:space="preserve">The Business Services branch supports the key functional areas within the Commission by providing human resource, financial, legislation, policy, quality compliance, records, reception, stores, training and administrative services. The Commission has an ongoing operational budget of around $8 million administered by the branch. </w:t>
      </w:r>
    </w:p>
    <w:p w:rsidR="00186508" w:rsidRPr="00050291" w:rsidRDefault="00186508" w:rsidP="00186508">
      <w:pPr>
        <w:autoSpaceDE w:val="0"/>
        <w:autoSpaceDN w:val="0"/>
        <w:adjustRightInd w:val="0"/>
        <w:spacing w:before="40" w:after="100" w:line="191" w:lineRule="atLeast"/>
        <w:rPr>
          <w:rFonts w:ascii="Arial" w:hAnsi="Arial" w:cs="Arial"/>
          <w:sz w:val="20"/>
          <w:szCs w:val="20"/>
        </w:rPr>
      </w:pPr>
      <w:r w:rsidRPr="00050291">
        <w:rPr>
          <w:rFonts w:ascii="Arial" w:hAnsi="Arial" w:cs="Arial"/>
          <w:sz w:val="20"/>
          <w:szCs w:val="20"/>
        </w:rPr>
        <w:t xml:space="preserve">Major focal points during the year were the financial and human resource support provided for the Vasse By-election and the fit out of new office accommodation on level 3 and the reception area on level 2. </w:t>
      </w:r>
    </w:p>
    <w:p w:rsidR="00186508" w:rsidRPr="00050291" w:rsidRDefault="00186508" w:rsidP="00531416">
      <w:pPr>
        <w:pStyle w:val="Heading4AR"/>
      </w:pPr>
      <w:r w:rsidRPr="00050291">
        <w:t xml:space="preserve">STAKEHOLDER COMMUNICATIONS </w:t>
      </w:r>
    </w:p>
    <w:p w:rsidR="00186508" w:rsidRPr="00050291" w:rsidRDefault="00186508" w:rsidP="00186508">
      <w:pPr>
        <w:autoSpaceDE w:val="0"/>
        <w:autoSpaceDN w:val="0"/>
        <w:adjustRightInd w:val="0"/>
        <w:spacing w:before="40" w:after="100" w:line="191" w:lineRule="atLeast"/>
        <w:rPr>
          <w:rFonts w:ascii="Arial" w:hAnsi="Arial" w:cs="Arial"/>
          <w:sz w:val="20"/>
          <w:szCs w:val="20"/>
        </w:rPr>
      </w:pPr>
      <w:r w:rsidRPr="00050291">
        <w:rPr>
          <w:rFonts w:ascii="Arial" w:hAnsi="Arial" w:cs="Arial"/>
          <w:sz w:val="20"/>
          <w:szCs w:val="20"/>
        </w:rPr>
        <w:t xml:space="preserve">Major focal points for communications related activity during the year were the Vasse By-election in October 2014 and the high profile local government amalgamation polls in early 2015. </w:t>
      </w:r>
    </w:p>
    <w:p w:rsidR="00186508" w:rsidRPr="00050291" w:rsidRDefault="00186508" w:rsidP="00186508">
      <w:pPr>
        <w:autoSpaceDE w:val="0"/>
        <w:autoSpaceDN w:val="0"/>
        <w:adjustRightInd w:val="0"/>
        <w:spacing w:before="40" w:after="100" w:line="191" w:lineRule="atLeast"/>
        <w:rPr>
          <w:rFonts w:ascii="Arial" w:hAnsi="Arial" w:cs="Arial"/>
          <w:sz w:val="20"/>
          <w:szCs w:val="20"/>
        </w:rPr>
      </w:pPr>
      <w:r w:rsidRPr="00050291">
        <w:rPr>
          <w:rFonts w:ascii="Arial" w:hAnsi="Arial" w:cs="Arial"/>
          <w:sz w:val="20"/>
          <w:szCs w:val="20"/>
        </w:rPr>
        <w:t xml:space="preserve">For the Vasse By-election an Easy Vote letter and card was distributed by direct mail to all eligible electors, informing them of voting options, polling place locations, how to cast a valid vote and so on. The Commission also used advertising in print media, online and social media, and on radio to promote awareness of the election and to highlight critical phases such as roll close, commencement of early voting and polling day. Various media releases were produced and interviews undertaken. </w:t>
      </w:r>
    </w:p>
    <w:p w:rsidR="00271B0D" w:rsidRDefault="00271B0D" w:rsidP="00186508">
      <w:pPr>
        <w:autoSpaceDE w:val="0"/>
        <w:autoSpaceDN w:val="0"/>
        <w:adjustRightInd w:val="0"/>
        <w:spacing w:before="40" w:after="100" w:line="191" w:lineRule="atLeast"/>
        <w:rPr>
          <w:rFonts w:ascii="Arial" w:hAnsi="Arial" w:cs="Arial"/>
          <w:sz w:val="20"/>
          <w:szCs w:val="20"/>
        </w:rPr>
      </w:pPr>
    </w:p>
    <w:p w:rsidR="00186508" w:rsidRPr="00050291" w:rsidRDefault="00186508" w:rsidP="00186508">
      <w:pPr>
        <w:autoSpaceDE w:val="0"/>
        <w:autoSpaceDN w:val="0"/>
        <w:adjustRightInd w:val="0"/>
        <w:spacing w:before="40" w:after="100" w:line="191" w:lineRule="atLeast"/>
        <w:rPr>
          <w:rFonts w:ascii="Arial" w:hAnsi="Arial" w:cs="Arial"/>
          <w:sz w:val="20"/>
          <w:szCs w:val="20"/>
        </w:rPr>
      </w:pPr>
      <w:r w:rsidRPr="00050291">
        <w:rPr>
          <w:rFonts w:ascii="Arial" w:hAnsi="Arial" w:cs="Arial"/>
          <w:sz w:val="20"/>
          <w:szCs w:val="20"/>
        </w:rPr>
        <w:lastRenderedPageBreak/>
        <w:t xml:space="preserve">The five voluntary local government amalgamation polls were conducted as postal ballots and hence all eligible electors were posted a voting package which included details about the arguments for and against the amalgamation proposals. Given the level of media coverage, localised promotional activity and general public interest, there was no need to embark on a significant advertising campaign. Nevertheless, the Commission arranged statutory advertising in the print media, produced a series of media releases, provided media interviews, and used its website and social media sites to promote the ballots. </w:t>
      </w:r>
    </w:p>
    <w:p w:rsidR="00186508" w:rsidRPr="00050291" w:rsidRDefault="00186508" w:rsidP="00531416">
      <w:pPr>
        <w:pStyle w:val="Heading4AR"/>
      </w:pPr>
      <w:r w:rsidRPr="00050291">
        <w:t xml:space="preserve">STRUCTURAL REFORM </w:t>
      </w:r>
    </w:p>
    <w:p w:rsidR="00186508" w:rsidRPr="00050291" w:rsidRDefault="00186508" w:rsidP="00186508">
      <w:pPr>
        <w:autoSpaceDE w:val="0"/>
        <w:autoSpaceDN w:val="0"/>
        <w:adjustRightInd w:val="0"/>
        <w:spacing w:before="40" w:after="100" w:line="191" w:lineRule="atLeast"/>
        <w:rPr>
          <w:rFonts w:ascii="Arial" w:hAnsi="Arial" w:cs="Arial"/>
          <w:sz w:val="20"/>
          <w:szCs w:val="20"/>
        </w:rPr>
      </w:pPr>
      <w:r w:rsidRPr="00050291">
        <w:rPr>
          <w:rFonts w:ascii="Arial" w:hAnsi="Arial" w:cs="Arial"/>
          <w:sz w:val="20"/>
          <w:szCs w:val="20"/>
        </w:rPr>
        <w:t xml:space="preserve">During the year the number of Commission branches was reduced by one, with the abolition of the Policy, Compliance and Community Information branch and the merging of its functions with the Election Operations, Business Services and Executive branches. A particular benefit of this change has been to maximise the resources available </w:t>
      </w:r>
      <w:r w:rsidRPr="00050291">
        <w:rPr>
          <w:rFonts w:ascii="Arial" w:hAnsi="Arial" w:cs="Arial"/>
          <w:i/>
          <w:iCs/>
          <w:sz w:val="20"/>
          <w:szCs w:val="20"/>
        </w:rPr>
        <w:t xml:space="preserve">‘at the coalface’ </w:t>
      </w:r>
      <w:r w:rsidRPr="00050291">
        <w:rPr>
          <w:rFonts w:ascii="Arial" w:hAnsi="Arial" w:cs="Arial"/>
          <w:sz w:val="20"/>
          <w:szCs w:val="20"/>
        </w:rPr>
        <w:t xml:space="preserve">in election operations. To supplement this change, all elections officers now operate within a single operations branch replacing the formerly discrete State, Local Government and Non-Parliamentary (fee for service) branches. </w:t>
      </w:r>
    </w:p>
    <w:p w:rsidR="00186508" w:rsidRPr="00050291" w:rsidRDefault="00186508" w:rsidP="00531416">
      <w:pPr>
        <w:pStyle w:val="Heading4AR"/>
      </w:pPr>
      <w:r w:rsidRPr="00050291">
        <w:t xml:space="preserve">INFORMATION SYSTEMS AND TECHNOLOGY </w:t>
      </w:r>
    </w:p>
    <w:p w:rsidR="00186508" w:rsidRPr="00050291" w:rsidRDefault="00186508" w:rsidP="00186508">
      <w:pPr>
        <w:autoSpaceDE w:val="0"/>
        <w:autoSpaceDN w:val="0"/>
        <w:adjustRightInd w:val="0"/>
        <w:spacing w:before="40" w:after="100" w:line="191" w:lineRule="atLeast"/>
        <w:rPr>
          <w:rFonts w:ascii="Arial" w:hAnsi="Arial" w:cs="Arial"/>
          <w:sz w:val="20"/>
          <w:szCs w:val="20"/>
        </w:rPr>
      </w:pPr>
      <w:r w:rsidRPr="00050291">
        <w:rPr>
          <w:rFonts w:ascii="Arial" w:hAnsi="Arial" w:cs="Arial"/>
          <w:sz w:val="20"/>
          <w:szCs w:val="20"/>
        </w:rPr>
        <w:t xml:space="preserve">IT continued to provide normal day to day support for all branches of the Commission as well as providing the infrastructure and processes to enable the Commission to continue business in the event of a critical incident. </w:t>
      </w:r>
    </w:p>
    <w:p w:rsidR="00186508" w:rsidRPr="00050291" w:rsidRDefault="00186508" w:rsidP="00186508">
      <w:pPr>
        <w:autoSpaceDE w:val="0"/>
        <w:autoSpaceDN w:val="0"/>
        <w:adjustRightInd w:val="0"/>
        <w:spacing w:before="40" w:after="100" w:line="191" w:lineRule="atLeast"/>
        <w:rPr>
          <w:rFonts w:ascii="Arial" w:hAnsi="Arial" w:cs="Arial"/>
          <w:sz w:val="20"/>
          <w:szCs w:val="20"/>
        </w:rPr>
      </w:pPr>
      <w:r w:rsidRPr="00050291">
        <w:rPr>
          <w:rFonts w:ascii="Arial" w:hAnsi="Arial" w:cs="Arial"/>
          <w:sz w:val="20"/>
          <w:szCs w:val="20"/>
        </w:rPr>
        <w:t xml:space="preserve">A major IT initiative this year was the continued upgrade of the Commission’s operating business environment, with the roll-out of new operating systems on all of our servers and replacement of ageing hardware. We also increased our data storage capacity both internally and at the external data centre. </w:t>
      </w:r>
    </w:p>
    <w:p w:rsidR="00186508" w:rsidRPr="00050291" w:rsidRDefault="00186508" w:rsidP="00186508">
      <w:pPr>
        <w:autoSpaceDE w:val="0"/>
        <w:autoSpaceDN w:val="0"/>
        <w:adjustRightInd w:val="0"/>
        <w:spacing w:before="40" w:after="100" w:line="191" w:lineRule="atLeast"/>
        <w:rPr>
          <w:rFonts w:ascii="Arial" w:hAnsi="Arial" w:cs="Arial"/>
          <w:sz w:val="20"/>
          <w:szCs w:val="20"/>
        </w:rPr>
      </w:pPr>
      <w:r w:rsidRPr="00050291">
        <w:rPr>
          <w:rFonts w:ascii="Arial" w:hAnsi="Arial" w:cs="Arial"/>
          <w:sz w:val="20"/>
          <w:szCs w:val="20"/>
        </w:rPr>
        <w:t xml:space="preserve">Of even greater importance to the conduct of electoral events was the upgrade and replacement of core software and election and legacy systems. We also completed the geo-coding of elector habitations which are used for mapping and boundary distributions. A new online portal was created for use by local governments and returning officers and major upgrades were undertaken to the system used to maintain the State Electoral Roll (including work to integrate digital maps with the roll database) and the local government election management module (EMSWA LG). </w:t>
      </w:r>
    </w:p>
    <w:p w:rsidR="00186508" w:rsidRPr="00050291" w:rsidRDefault="00186508" w:rsidP="00186508">
      <w:pPr>
        <w:autoSpaceDE w:val="0"/>
        <w:autoSpaceDN w:val="0"/>
        <w:adjustRightInd w:val="0"/>
        <w:spacing w:before="40" w:after="100" w:line="191" w:lineRule="atLeast"/>
        <w:rPr>
          <w:rFonts w:ascii="Arial" w:hAnsi="Arial" w:cs="Arial"/>
          <w:sz w:val="20"/>
          <w:szCs w:val="20"/>
        </w:rPr>
      </w:pPr>
      <w:r w:rsidRPr="00050291">
        <w:rPr>
          <w:rFonts w:ascii="Arial" w:hAnsi="Arial" w:cs="Arial"/>
          <w:sz w:val="20"/>
          <w:szCs w:val="20"/>
        </w:rPr>
        <w:t xml:space="preserve">Work also proceeded with changes to the </w:t>
      </w:r>
      <w:proofErr w:type="spellStart"/>
      <w:r w:rsidRPr="00050291">
        <w:rPr>
          <w:rFonts w:ascii="Arial" w:hAnsi="Arial" w:cs="Arial"/>
          <w:sz w:val="20"/>
          <w:szCs w:val="20"/>
        </w:rPr>
        <w:t>CountWA</w:t>
      </w:r>
      <w:proofErr w:type="spellEnd"/>
      <w:r w:rsidRPr="00050291">
        <w:rPr>
          <w:rFonts w:ascii="Arial" w:hAnsi="Arial" w:cs="Arial"/>
          <w:sz w:val="20"/>
          <w:szCs w:val="20"/>
        </w:rPr>
        <w:t xml:space="preserve"> vote counting system to include a number of different types of count methodologies and to streamline the operating of the system. A new VOIP phone system was installed at the Commission to replace the existing system which had reached end of life. </w:t>
      </w:r>
    </w:p>
    <w:p w:rsidR="00186508" w:rsidRPr="00050291" w:rsidRDefault="00186508" w:rsidP="00186508">
      <w:pPr>
        <w:pStyle w:val="BodyCopy"/>
        <w:rPr>
          <w:color w:val="auto"/>
          <w:sz w:val="20"/>
          <w:szCs w:val="20"/>
          <w:lang w:val="en-AU"/>
        </w:rPr>
      </w:pPr>
      <w:r w:rsidRPr="00050291">
        <w:rPr>
          <w:color w:val="auto"/>
          <w:sz w:val="20"/>
          <w:szCs w:val="20"/>
          <w:lang w:val="en-AU"/>
        </w:rPr>
        <w:t>From a safety and security aspect we introduced new vulnerability and detection systems, network and traffic monitoring, security event log capture and analysis, automated software and workstation server patching and an integration of network redundancy and load balancing.</w:t>
      </w:r>
    </w:p>
    <w:p w:rsidR="00F844FB" w:rsidRDefault="00F844FB">
      <w:pPr>
        <w:rPr>
          <w:rFonts w:cs="Arial Narrow"/>
          <w:color w:val="000000"/>
          <w:sz w:val="58"/>
          <w:szCs w:val="58"/>
        </w:rPr>
        <w:sectPr w:rsidR="00F844FB" w:rsidSect="00B149BC">
          <w:type w:val="continuous"/>
          <w:pgSz w:w="11906" w:h="16838"/>
          <w:pgMar w:top="720" w:right="720" w:bottom="720" w:left="720" w:header="720" w:footer="720" w:gutter="0"/>
          <w:cols w:space="720"/>
          <w:noEndnote/>
        </w:sectPr>
      </w:pPr>
    </w:p>
    <w:p w:rsidR="00186508" w:rsidRPr="00050291" w:rsidRDefault="00F844FB" w:rsidP="00531416">
      <w:pPr>
        <w:pStyle w:val="Heading1largeAR"/>
      </w:pPr>
      <w:r w:rsidRPr="00050291">
        <w:lastRenderedPageBreak/>
        <w:t xml:space="preserve">DISCLOSURES </w:t>
      </w:r>
      <w:r w:rsidR="00186508" w:rsidRPr="00050291">
        <w:t>AND LEGAL COMPLIANCE</w:t>
      </w:r>
    </w:p>
    <w:p w:rsidR="00F844FB" w:rsidRPr="00050291" w:rsidRDefault="00F844FB" w:rsidP="00531416">
      <w:pPr>
        <w:pStyle w:val="Heading2ARtitlecase"/>
      </w:pPr>
      <w:r w:rsidRPr="00050291">
        <w:t>COMPLIANCE WITH RELEVANT LEGISLATION</w:t>
      </w:r>
    </w:p>
    <w:p w:rsidR="00050291" w:rsidRDefault="00050291" w:rsidP="00186508">
      <w:pPr>
        <w:pStyle w:val="BodyCopy"/>
        <w:rPr>
          <w:b/>
          <w:bCs/>
          <w:color w:val="000000"/>
          <w:sz w:val="20"/>
          <w:szCs w:val="20"/>
        </w:rPr>
      </w:pPr>
    </w:p>
    <w:p w:rsidR="00F844FB" w:rsidRPr="00050291" w:rsidRDefault="00F844FB" w:rsidP="00186508">
      <w:pPr>
        <w:pStyle w:val="BodyCopy"/>
        <w:rPr>
          <w:b/>
          <w:bCs/>
          <w:color w:val="000000"/>
          <w:sz w:val="20"/>
          <w:szCs w:val="20"/>
        </w:rPr>
      </w:pPr>
      <w:r w:rsidRPr="00050291">
        <w:rPr>
          <w:b/>
          <w:bCs/>
          <w:color w:val="000000"/>
          <w:sz w:val="20"/>
          <w:szCs w:val="20"/>
        </w:rPr>
        <w:t>The Commission complied with the following legislation in the performance of its function:</w:t>
      </w:r>
    </w:p>
    <w:tbl>
      <w:tblPr>
        <w:tblW w:w="0" w:type="auto"/>
        <w:tblBorders>
          <w:top w:val="nil"/>
          <w:left w:val="nil"/>
          <w:bottom w:val="nil"/>
          <w:right w:val="nil"/>
        </w:tblBorders>
        <w:tblLayout w:type="fixed"/>
        <w:tblLook w:val="0000" w:firstRow="0" w:lastRow="0" w:firstColumn="0" w:lastColumn="0" w:noHBand="0" w:noVBand="0"/>
      </w:tblPr>
      <w:tblGrid>
        <w:gridCol w:w="4960"/>
        <w:gridCol w:w="4961"/>
      </w:tblGrid>
      <w:tr w:rsidR="00050291" w:rsidRPr="00050291" w:rsidTr="00050291">
        <w:trPr>
          <w:trHeight w:val="132"/>
        </w:trPr>
        <w:tc>
          <w:tcPr>
            <w:tcW w:w="4960" w:type="dxa"/>
            <w:tcBorders>
              <w:top w:val="single" w:sz="4" w:space="0" w:color="auto"/>
              <w:bottom w:val="single" w:sz="4" w:space="0" w:color="auto"/>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F844FB">
              <w:rPr>
                <w:rFonts w:ascii="Arial" w:hAnsi="Arial" w:cs="Arial"/>
                <w:b/>
                <w:bCs/>
                <w:sz w:val="20"/>
                <w:szCs w:val="20"/>
              </w:rPr>
              <w:t xml:space="preserve">Administrative </w:t>
            </w:r>
          </w:p>
        </w:tc>
        <w:tc>
          <w:tcPr>
            <w:tcW w:w="4961" w:type="dxa"/>
            <w:tcBorders>
              <w:top w:val="single" w:sz="4" w:space="0" w:color="auto"/>
              <w:left w:val="single" w:sz="4" w:space="0" w:color="auto"/>
              <w:bottom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F844FB">
              <w:rPr>
                <w:rFonts w:ascii="Arial" w:hAnsi="Arial" w:cs="Arial"/>
                <w:b/>
                <w:bCs/>
                <w:sz w:val="20"/>
                <w:szCs w:val="20"/>
              </w:rPr>
              <w:t xml:space="preserve">Operational </w:t>
            </w:r>
          </w:p>
        </w:tc>
      </w:tr>
      <w:tr w:rsidR="00050291" w:rsidRPr="00050291" w:rsidTr="00A97CE9">
        <w:trPr>
          <w:trHeight w:val="105"/>
        </w:trPr>
        <w:tc>
          <w:tcPr>
            <w:tcW w:w="4960" w:type="dxa"/>
            <w:tcBorders>
              <w:top w:val="single" w:sz="4" w:space="0" w:color="auto"/>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Criminal Code </w:t>
            </w:r>
          </w:p>
        </w:tc>
        <w:tc>
          <w:tcPr>
            <w:tcW w:w="4961" w:type="dxa"/>
            <w:tcBorders>
              <w:top w:val="single" w:sz="4" w:space="0" w:color="auto"/>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Constitution Act 1889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Disability Discrimination Act 1992 (</w:t>
            </w:r>
            <w:proofErr w:type="spellStart"/>
            <w:r w:rsidRPr="00050291">
              <w:rPr>
                <w:rFonts w:ascii="Arial" w:hAnsi="Arial" w:cs="Arial"/>
                <w:i/>
                <w:iCs/>
                <w:sz w:val="20"/>
                <w:szCs w:val="20"/>
              </w:rPr>
              <w:t>Cth</w:t>
            </w:r>
            <w:proofErr w:type="spellEnd"/>
            <w:r w:rsidRPr="00050291">
              <w:rPr>
                <w:rFonts w:ascii="Arial" w:hAnsi="Arial" w:cs="Arial"/>
                <w:i/>
                <w:iCs/>
                <w:sz w:val="20"/>
                <w:szCs w:val="20"/>
              </w:rPr>
              <w:t xml:space="preserve">)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Constitution Acts Amendments Act 1899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Disability Services Act 1993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Election of Senators Act 1903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Equal Opportunity Act 1984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Electoral Act 1907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Electronic Transactions Act 2011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Electoral (Ballot Paper Forms) Regulations 1990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Evidence Act 1906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Electoral (Political Finance) Regulations 1996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Financial Management Act 2006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Electoral Regulations 1996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Freedom of Information Act 1992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Fines, Penalties and Infringement Notices Enforcement Acts 1994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Industrial Relations Act 1979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Guardianship and Administration Act 1990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Occupational Safety and Health Act 1984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Industrial Arbitration (Unions Elections) Regulations 1980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Parliamentary Commissioner Act 1971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Juries Act 1957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Public and Bank Holidays Act 1972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Local Government Act 1995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Public Sector Management Act 1994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Local Government (Elections) Regulations 1997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Public Interest Disclosure Act 2003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Referendums Acts 1983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Salaries and Allowances Act 1975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Referendums Regulations 1984 </w:t>
            </w:r>
          </w:p>
        </w:tc>
      </w:tr>
      <w:tr w:rsidR="00050291" w:rsidRPr="00050291" w:rsidTr="00A97CE9">
        <w:trPr>
          <w:trHeight w:val="105"/>
        </w:trPr>
        <w:tc>
          <w:tcPr>
            <w:tcW w:w="4960" w:type="dxa"/>
            <w:tcBorders>
              <w:top w:val="nil"/>
              <w:bottom w:val="nil"/>
              <w:righ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State Records Act 2000 </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 xml:space="preserve">Working with Children (Criminal Record Checking) Act 2004 </w:t>
            </w:r>
          </w:p>
        </w:tc>
      </w:tr>
      <w:tr w:rsidR="00050291" w:rsidRPr="00050291" w:rsidTr="00A97CE9">
        <w:trPr>
          <w:trHeight w:val="105"/>
        </w:trPr>
        <w:tc>
          <w:tcPr>
            <w:tcW w:w="4960" w:type="dxa"/>
            <w:tcBorders>
              <w:top w:val="nil"/>
              <w:bottom w:val="nil"/>
              <w:right w:val="single" w:sz="4" w:space="0" w:color="auto"/>
            </w:tcBorders>
          </w:tcPr>
          <w:p w:rsidR="00F844FB" w:rsidRPr="00050291"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State Superannuation Act 2000</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p>
        </w:tc>
      </w:tr>
      <w:tr w:rsidR="00050291" w:rsidRPr="00050291" w:rsidTr="00A97CE9">
        <w:trPr>
          <w:trHeight w:val="228"/>
        </w:trPr>
        <w:tc>
          <w:tcPr>
            <w:tcW w:w="4960" w:type="dxa"/>
            <w:tcBorders>
              <w:top w:val="nil"/>
              <w:bottom w:val="nil"/>
              <w:right w:val="single" w:sz="4" w:space="0" w:color="auto"/>
            </w:tcBorders>
          </w:tcPr>
          <w:p w:rsidR="00F844FB" w:rsidRPr="00050291"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State Superannuation (Transitional and Consequential Provisions) Act 2000</w:t>
            </w:r>
          </w:p>
        </w:tc>
        <w:tc>
          <w:tcPr>
            <w:tcW w:w="4961" w:type="dxa"/>
            <w:tcBorders>
              <w:top w:val="nil"/>
              <w:left w:val="single" w:sz="4" w:space="0" w:color="auto"/>
              <w:bottom w:val="nil"/>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p>
        </w:tc>
      </w:tr>
      <w:tr w:rsidR="00050291" w:rsidRPr="00050291" w:rsidTr="00A97CE9">
        <w:trPr>
          <w:trHeight w:val="105"/>
        </w:trPr>
        <w:tc>
          <w:tcPr>
            <w:tcW w:w="4960" w:type="dxa"/>
            <w:tcBorders>
              <w:top w:val="nil"/>
              <w:right w:val="single" w:sz="4" w:space="0" w:color="auto"/>
            </w:tcBorders>
          </w:tcPr>
          <w:p w:rsidR="00F844FB" w:rsidRPr="00050291" w:rsidRDefault="00F844FB" w:rsidP="00F844FB">
            <w:pPr>
              <w:autoSpaceDE w:val="0"/>
              <w:autoSpaceDN w:val="0"/>
              <w:adjustRightInd w:val="0"/>
              <w:spacing w:before="40" w:after="100" w:line="191" w:lineRule="atLeast"/>
              <w:jc w:val="center"/>
              <w:rPr>
                <w:rFonts w:ascii="Arial" w:hAnsi="Arial" w:cs="Arial"/>
                <w:sz w:val="20"/>
                <w:szCs w:val="20"/>
              </w:rPr>
            </w:pPr>
            <w:r w:rsidRPr="00050291">
              <w:rPr>
                <w:rFonts w:ascii="Arial" w:hAnsi="Arial" w:cs="Arial"/>
                <w:i/>
                <w:iCs/>
                <w:sz w:val="20"/>
                <w:szCs w:val="20"/>
              </w:rPr>
              <w:t>Workers Compensation and Injury Management Act 1981</w:t>
            </w:r>
          </w:p>
        </w:tc>
        <w:tc>
          <w:tcPr>
            <w:tcW w:w="4961" w:type="dxa"/>
            <w:tcBorders>
              <w:top w:val="nil"/>
              <w:left w:val="single" w:sz="4" w:space="0" w:color="auto"/>
            </w:tcBorders>
          </w:tcPr>
          <w:p w:rsidR="00F844FB" w:rsidRPr="00F844FB" w:rsidRDefault="00F844FB" w:rsidP="00F844FB">
            <w:pPr>
              <w:autoSpaceDE w:val="0"/>
              <w:autoSpaceDN w:val="0"/>
              <w:adjustRightInd w:val="0"/>
              <w:spacing w:before="40" w:after="100" w:line="191" w:lineRule="atLeast"/>
              <w:jc w:val="center"/>
              <w:rPr>
                <w:rFonts w:ascii="Arial" w:hAnsi="Arial" w:cs="Arial"/>
                <w:sz w:val="20"/>
                <w:szCs w:val="20"/>
              </w:rPr>
            </w:pPr>
          </w:p>
        </w:tc>
      </w:tr>
    </w:tbl>
    <w:p w:rsidR="00A642A8" w:rsidRPr="00050291" w:rsidRDefault="00A642A8" w:rsidP="00F844FB">
      <w:pPr>
        <w:autoSpaceDE w:val="0"/>
        <w:autoSpaceDN w:val="0"/>
        <w:adjustRightInd w:val="0"/>
        <w:spacing w:before="280" w:after="0" w:line="221" w:lineRule="atLeast"/>
        <w:rPr>
          <w:rFonts w:ascii="Arial" w:hAnsi="Arial" w:cs="Arial"/>
          <w:sz w:val="20"/>
          <w:szCs w:val="20"/>
        </w:rPr>
      </w:pPr>
      <w:r w:rsidRPr="00050291">
        <w:rPr>
          <w:rFonts w:ascii="Arial" w:hAnsi="Arial" w:cs="Arial"/>
          <w:sz w:val="20"/>
          <w:szCs w:val="20"/>
        </w:rPr>
        <w:br w:type="page"/>
      </w:r>
    </w:p>
    <w:p w:rsidR="00F844FB" w:rsidRPr="00F844FB" w:rsidRDefault="00F844FB" w:rsidP="00531416">
      <w:pPr>
        <w:pStyle w:val="Heading2ARtitlecase"/>
      </w:pPr>
      <w:r w:rsidRPr="00F844FB">
        <w:lastRenderedPageBreak/>
        <w:t xml:space="preserve">COMPLIANCE WITH SECTION 175ZE OF THE </w:t>
      </w:r>
      <w:r w:rsidR="00531416">
        <w:br/>
      </w:r>
      <w:r w:rsidRPr="00F844FB">
        <w:rPr>
          <w:i/>
          <w:iCs/>
        </w:rPr>
        <w:t xml:space="preserve">ELECTORAL ACT 1907 </w:t>
      </w:r>
    </w:p>
    <w:p w:rsidR="00F844FB" w:rsidRPr="00F844FB" w:rsidRDefault="00F844FB" w:rsidP="00F844FB">
      <w:pPr>
        <w:autoSpaceDE w:val="0"/>
        <w:autoSpaceDN w:val="0"/>
        <w:adjustRightInd w:val="0"/>
        <w:spacing w:before="40" w:after="100" w:line="191" w:lineRule="atLeast"/>
        <w:rPr>
          <w:rFonts w:ascii="Arial" w:hAnsi="Arial" w:cs="Arial"/>
          <w:color w:val="000000"/>
          <w:sz w:val="20"/>
          <w:szCs w:val="20"/>
        </w:rPr>
      </w:pPr>
      <w:r w:rsidRPr="00F844FB">
        <w:rPr>
          <w:rFonts w:ascii="Arial" w:hAnsi="Arial" w:cs="Arial"/>
          <w:color w:val="000000"/>
          <w:sz w:val="20"/>
          <w:szCs w:val="20"/>
        </w:rPr>
        <w:t xml:space="preserve">In compliance with Section 175ZE of the </w:t>
      </w:r>
      <w:r w:rsidRPr="00F844FB">
        <w:rPr>
          <w:rFonts w:ascii="Arial" w:hAnsi="Arial" w:cs="Arial"/>
          <w:i/>
          <w:iCs/>
          <w:color w:val="000000"/>
          <w:sz w:val="20"/>
          <w:szCs w:val="20"/>
        </w:rPr>
        <w:t>Electoral Act 1907</w:t>
      </w:r>
      <w:r w:rsidRPr="00F844FB">
        <w:rPr>
          <w:rFonts w:ascii="Arial" w:hAnsi="Arial" w:cs="Arial"/>
          <w:color w:val="000000"/>
          <w:sz w:val="20"/>
          <w:szCs w:val="20"/>
        </w:rPr>
        <w:t xml:space="preserve">, the Commission is required to report on expenditure incurred during the financial year in relation to advertising, market research organisations, polling organisations, direct mail organisations and media advertising organisations. </w:t>
      </w:r>
    </w:p>
    <w:p w:rsidR="00F844FB" w:rsidRPr="00050291" w:rsidRDefault="00F844FB" w:rsidP="00F844FB">
      <w:pPr>
        <w:pStyle w:val="BodyCopy"/>
        <w:rPr>
          <w:b/>
          <w:bCs/>
          <w:color w:val="000000"/>
          <w:sz w:val="20"/>
          <w:szCs w:val="20"/>
          <w:lang w:val="en-AU"/>
        </w:rPr>
      </w:pPr>
      <w:r w:rsidRPr="00050291">
        <w:rPr>
          <w:b/>
          <w:bCs/>
          <w:color w:val="000000"/>
          <w:sz w:val="20"/>
          <w:szCs w:val="20"/>
          <w:lang w:val="en-AU"/>
        </w:rPr>
        <w:t>Total expenditure for 2014–15 was $700,507.46</w:t>
      </w:r>
    </w:p>
    <w:p w:rsidR="00F844FB" w:rsidRPr="00050291" w:rsidRDefault="00F844FB" w:rsidP="00F844FB">
      <w:pPr>
        <w:pStyle w:val="BodyCopy"/>
        <w:rPr>
          <w:color w:val="000000"/>
          <w:sz w:val="20"/>
          <w:szCs w:val="20"/>
        </w:rPr>
      </w:pPr>
      <w:r w:rsidRPr="00050291">
        <w:rPr>
          <w:color w:val="000000"/>
          <w:sz w:val="20"/>
          <w:szCs w:val="20"/>
        </w:rPr>
        <w:t>Details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843"/>
        <w:gridCol w:w="3083"/>
        <w:gridCol w:w="2671"/>
      </w:tblGrid>
      <w:tr w:rsidR="00F844FB" w:rsidRPr="00050291" w:rsidTr="00271B0D">
        <w:tc>
          <w:tcPr>
            <w:tcW w:w="3085" w:type="dxa"/>
          </w:tcPr>
          <w:p w:rsidR="00F844FB" w:rsidRPr="00050291" w:rsidRDefault="00F844FB">
            <w:pPr>
              <w:pStyle w:val="Pa1"/>
              <w:spacing w:before="40" w:after="100"/>
              <w:rPr>
                <w:color w:val="000000"/>
                <w:sz w:val="20"/>
                <w:szCs w:val="20"/>
              </w:rPr>
            </w:pPr>
            <w:r w:rsidRPr="00050291">
              <w:rPr>
                <w:color w:val="000000"/>
                <w:sz w:val="20"/>
                <w:szCs w:val="20"/>
              </w:rPr>
              <w:t xml:space="preserve">Advertising </w:t>
            </w:r>
          </w:p>
        </w:tc>
        <w:tc>
          <w:tcPr>
            <w:tcW w:w="1843" w:type="dxa"/>
          </w:tcPr>
          <w:p w:rsidR="00F844FB" w:rsidRPr="00050291" w:rsidRDefault="00F844FB">
            <w:pPr>
              <w:pStyle w:val="Pa13"/>
              <w:spacing w:before="40" w:after="100"/>
              <w:jc w:val="center"/>
              <w:rPr>
                <w:color w:val="000000"/>
                <w:sz w:val="20"/>
                <w:szCs w:val="20"/>
              </w:rPr>
            </w:pPr>
            <w:r w:rsidRPr="00050291">
              <w:rPr>
                <w:color w:val="000000"/>
                <w:sz w:val="20"/>
                <w:szCs w:val="20"/>
              </w:rPr>
              <w:t xml:space="preserve">Amount </w:t>
            </w:r>
          </w:p>
        </w:tc>
        <w:tc>
          <w:tcPr>
            <w:tcW w:w="3083" w:type="dxa"/>
          </w:tcPr>
          <w:p w:rsidR="00F844FB" w:rsidRPr="00050291" w:rsidRDefault="00F844FB">
            <w:pPr>
              <w:pStyle w:val="Pa1"/>
              <w:spacing w:before="40" w:after="100"/>
              <w:rPr>
                <w:color w:val="000000"/>
                <w:sz w:val="20"/>
                <w:szCs w:val="20"/>
              </w:rPr>
            </w:pPr>
            <w:r w:rsidRPr="00050291">
              <w:rPr>
                <w:color w:val="000000"/>
                <w:sz w:val="20"/>
                <w:szCs w:val="20"/>
              </w:rPr>
              <w:t xml:space="preserve">Expenditure </w:t>
            </w:r>
          </w:p>
        </w:tc>
        <w:tc>
          <w:tcPr>
            <w:tcW w:w="2671" w:type="dxa"/>
          </w:tcPr>
          <w:p w:rsidR="00F844FB" w:rsidRPr="00050291" w:rsidRDefault="00F844FB">
            <w:pPr>
              <w:pStyle w:val="Pa13"/>
              <w:spacing w:before="40" w:after="100"/>
              <w:jc w:val="center"/>
              <w:rPr>
                <w:color w:val="000000"/>
                <w:sz w:val="20"/>
                <w:szCs w:val="20"/>
              </w:rPr>
            </w:pPr>
            <w:r w:rsidRPr="00050291">
              <w:rPr>
                <w:color w:val="000000"/>
                <w:sz w:val="20"/>
                <w:szCs w:val="20"/>
              </w:rPr>
              <w:t xml:space="preserve">Amount </w:t>
            </w:r>
          </w:p>
        </w:tc>
      </w:tr>
      <w:tr w:rsidR="00CD2798" w:rsidRPr="00050291" w:rsidTr="00271B0D">
        <w:tc>
          <w:tcPr>
            <w:tcW w:w="3085" w:type="dxa"/>
            <w:vMerge w:val="restart"/>
            <w:vAlign w:val="center"/>
          </w:tcPr>
          <w:p w:rsidR="00CD2798" w:rsidRPr="00050291" w:rsidRDefault="00CD2798" w:rsidP="00CD2798">
            <w:pPr>
              <w:pStyle w:val="Pa1"/>
              <w:spacing w:before="40" w:after="100"/>
              <w:rPr>
                <w:color w:val="000000"/>
                <w:sz w:val="20"/>
                <w:szCs w:val="20"/>
              </w:rPr>
            </w:pPr>
            <w:r w:rsidRPr="00050291">
              <w:rPr>
                <w:color w:val="000000"/>
                <w:sz w:val="20"/>
                <w:szCs w:val="20"/>
              </w:rPr>
              <w:t xml:space="preserve">Advertising agencies </w:t>
            </w:r>
          </w:p>
        </w:tc>
        <w:tc>
          <w:tcPr>
            <w:tcW w:w="1843" w:type="dxa"/>
            <w:vMerge w:val="restart"/>
            <w:vAlign w:val="center"/>
          </w:tcPr>
          <w:p w:rsidR="00CD2798" w:rsidRPr="00050291" w:rsidRDefault="00CD2798" w:rsidP="00CD2798">
            <w:pPr>
              <w:pStyle w:val="Pa13"/>
              <w:spacing w:before="40" w:after="100"/>
              <w:jc w:val="center"/>
              <w:rPr>
                <w:color w:val="000000"/>
                <w:sz w:val="20"/>
                <w:szCs w:val="20"/>
              </w:rPr>
            </w:pPr>
            <w:r w:rsidRPr="00050291">
              <w:rPr>
                <w:color w:val="000000"/>
                <w:sz w:val="20"/>
                <w:szCs w:val="20"/>
              </w:rPr>
              <w:t>$140,569.09</w:t>
            </w: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Carat Australia Media services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$98,569.09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303Lowe Group Pty Ltd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$42,000.00 </w:t>
            </w:r>
          </w:p>
        </w:tc>
      </w:tr>
      <w:tr w:rsidR="00CD2798" w:rsidRPr="00050291" w:rsidTr="00271B0D">
        <w:tc>
          <w:tcPr>
            <w:tcW w:w="3085" w:type="dxa"/>
          </w:tcPr>
          <w:p w:rsidR="00CD2798" w:rsidRPr="00050291" w:rsidRDefault="00CD2798" w:rsidP="00CD2798">
            <w:pPr>
              <w:pStyle w:val="Pa13"/>
              <w:spacing w:before="40" w:after="100"/>
              <w:rPr>
                <w:color w:val="000000"/>
                <w:sz w:val="20"/>
                <w:szCs w:val="20"/>
              </w:rPr>
            </w:pPr>
            <w:r w:rsidRPr="00050291">
              <w:rPr>
                <w:color w:val="000000"/>
                <w:sz w:val="20"/>
                <w:szCs w:val="20"/>
              </w:rPr>
              <w:t xml:space="preserve">Market research organisations </w:t>
            </w:r>
          </w:p>
        </w:tc>
        <w:tc>
          <w:tcPr>
            <w:tcW w:w="7597" w:type="dxa"/>
            <w:gridSpan w:val="3"/>
            <w:vAlign w:val="center"/>
          </w:tcPr>
          <w:p w:rsidR="00CD2798" w:rsidRPr="00050291" w:rsidRDefault="00CD2798" w:rsidP="00CD2798">
            <w:pPr>
              <w:pStyle w:val="Pa13"/>
              <w:spacing w:before="40" w:after="100"/>
              <w:jc w:val="center"/>
              <w:rPr>
                <w:color w:val="000000"/>
                <w:sz w:val="20"/>
                <w:szCs w:val="20"/>
              </w:rPr>
            </w:pPr>
            <w:r w:rsidRPr="00050291">
              <w:rPr>
                <w:color w:val="000000"/>
                <w:sz w:val="20"/>
                <w:szCs w:val="20"/>
              </w:rPr>
              <w:t>$Nil</w:t>
            </w:r>
          </w:p>
        </w:tc>
      </w:tr>
      <w:tr w:rsidR="00CD2798" w:rsidRPr="00050291" w:rsidTr="00271B0D">
        <w:tc>
          <w:tcPr>
            <w:tcW w:w="3085" w:type="dxa"/>
          </w:tcPr>
          <w:p w:rsidR="00CD2798" w:rsidRPr="00050291" w:rsidRDefault="00CD2798" w:rsidP="00CD2798">
            <w:pPr>
              <w:pStyle w:val="bc-bold"/>
              <w:spacing w:before="40" w:after="100"/>
              <w:rPr>
                <w:color w:val="000000"/>
                <w:sz w:val="20"/>
                <w:szCs w:val="20"/>
              </w:rPr>
            </w:pPr>
            <w:r w:rsidRPr="00050291">
              <w:rPr>
                <w:color w:val="000000"/>
                <w:sz w:val="20"/>
                <w:szCs w:val="20"/>
              </w:rPr>
              <w:t xml:space="preserve">Polling organisations </w:t>
            </w:r>
          </w:p>
        </w:tc>
        <w:tc>
          <w:tcPr>
            <w:tcW w:w="7597" w:type="dxa"/>
            <w:gridSpan w:val="3"/>
          </w:tcPr>
          <w:p w:rsidR="00CD2798" w:rsidRPr="00050291" w:rsidRDefault="00CD2798">
            <w:pPr>
              <w:pStyle w:val="Pa13"/>
              <w:spacing w:before="40" w:after="100"/>
              <w:jc w:val="center"/>
              <w:rPr>
                <w:color w:val="000000"/>
                <w:sz w:val="20"/>
                <w:szCs w:val="20"/>
              </w:rPr>
            </w:pPr>
            <w:r w:rsidRPr="00050291">
              <w:rPr>
                <w:color w:val="000000"/>
                <w:sz w:val="20"/>
                <w:szCs w:val="20"/>
              </w:rPr>
              <w:t>$Nil</w:t>
            </w:r>
          </w:p>
        </w:tc>
      </w:tr>
      <w:tr w:rsidR="00CD2798" w:rsidRPr="00050291" w:rsidTr="00271B0D">
        <w:tc>
          <w:tcPr>
            <w:tcW w:w="3085" w:type="dxa"/>
            <w:vMerge w:val="restart"/>
            <w:vAlign w:val="center"/>
          </w:tcPr>
          <w:p w:rsidR="00CD2798" w:rsidRPr="00050291" w:rsidRDefault="00CD2798" w:rsidP="00CD2798">
            <w:pPr>
              <w:pStyle w:val="Pa1"/>
              <w:spacing w:before="40" w:after="100"/>
              <w:rPr>
                <w:color w:val="000000"/>
                <w:sz w:val="20"/>
                <w:szCs w:val="20"/>
              </w:rPr>
            </w:pPr>
            <w:r w:rsidRPr="00050291">
              <w:rPr>
                <w:color w:val="000000"/>
                <w:sz w:val="20"/>
                <w:szCs w:val="20"/>
              </w:rPr>
              <w:t xml:space="preserve">Direct mail organisations </w:t>
            </w:r>
          </w:p>
        </w:tc>
        <w:tc>
          <w:tcPr>
            <w:tcW w:w="1843" w:type="dxa"/>
            <w:vMerge w:val="restart"/>
            <w:vAlign w:val="center"/>
          </w:tcPr>
          <w:p w:rsidR="00CD2798" w:rsidRPr="00050291" w:rsidRDefault="00CD2798" w:rsidP="00CD2798">
            <w:pPr>
              <w:pStyle w:val="Pa13"/>
              <w:spacing w:before="40" w:after="100"/>
              <w:jc w:val="center"/>
              <w:rPr>
                <w:color w:val="000000"/>
                <w:sz w:val="20"/>
                <w:szCs w:val="20"/>
              </w:rPr>
            </w:pPr>
            <w:r w:rsidRPr="00050291">
              <w:rPr>
                <w:color w:val="000000"/>
                <w:sz w:val="20"/>
                <w:szCs w:val="20"/>
              </w:rPr>
              <w:t>$338,062.37</w:t>
            </w: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Toll IPEC Pty Ltd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$36,628.47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Australia Post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$184,971.77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proofErr w:type="spellStart"/>
            <w:r w:rsidRPr="00050291">
              <w:rPr>
                <w:color w:val="000000"/>
                <w:sz w:val="20"/>
                <w:szCs w:val="20"/>
              </w:rPr>
              <w:t>Quikmail</w:t>
            </w:r>
            <w:proofErr w:type="spellEnd"/>
            <w:r w:rsidRPr="00050291">
              <w:rPr>
                <w:color w:val="000000"/>
                <w:sz w:val="20"/>
                <w:szCs w:val="20"/>
              </w:rPr>
              <w:t xml:space="preserve">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$927.55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proofErr w:type="spellStart"/>
            <w:r w:rsidRPr="00050291">
              <w:rPr>
                <w:color w:val="000000"/>
                <w:sz w:val="20"/>
                <w:szCs w:val="20"/>
              </w:rPr>
              <w:t>Lasermail</w:t>
            </w:r>
            <w:proofErr w:type="spellEnd"/>
            <w:r w:rsidRPr="00050291">
              <w:rPr>
                <w:color w:val="000000"/>
                <w:sz w:val="20"/>
                <w:szCs w:val="20"/>
              </w:rPr>
              <w:t xml:space="preserve"> Pty Ltd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$15,017.23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proofErr w:type="spellStart"/>
            <w:r w:rsidRPr="00050291">
              <w:rPr>
                <w:color w:val="000000"/>
                <w:sz w:val="20"/>
                <w:szCs w:val="20"/>
              </w:rPr>
              <w:t>Zipform</w:t>
            </w:r>
            <w:proofErr w:type="spellEnd"/>
            <w:r w:rsidRPr="00050291">
              <w:rPr>
                <w:color w:val="000000"/>
                <w:sz w:val="20"/>
                <w:szCs w:val="20"/>
              </w:rPr>
              <w:t xml:space="preserve"> </w:t>
            </w:r>
            <w:proofErr w:type="spellStart"/>
            <w:r w:rsidRPr="00050291">
              <w:rPr>
                <w:color w:val="000000"/>
                <w:sz w:val="20"/>
                <w:szCs w:val="20"/>
              </w:rPr>
              <w:t>Pty.Ltd</w:t>
            </w:r>
            <w:proofErr w:type="spellEnd"/>
            <w:r w:rsidRPr="00050291">
              <w:rPr>
                <w:color w:val="000000"/>
                <w:sz w:val="20"/>
                <w:szCs w:val="20"/>
              </w:rPr>
              <w:t xml:space="preserve">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$74,001.62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Toll Priority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$1,324.68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T&amp;C Courier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$1,710.09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Courier Australia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$23,480.96 </w:t>
            </w:r>
          </w:p>
        </w:tc>
      </w:tr>
      <w:tr w:rsidR="00CD2798" w:rsidRPr="00050291" w:rsidTr="00271B0D">
        <w:tc>
          <w:tcPr>
            <w:tcW w:w="3085" w:type="dxa"/>
            <w:vMerge w:val="restart"/>
            <w:vAlign w:val="center"/>
          </w:tcPr>
          <w:p w:rsidR="00CD2798" w:rsidRPr="00050291" w:rsidRDefault="00CD2798" w:rsidP="00CD2798">
            <w:pPr>
              <w:pStyle w:val="Pa1"/>
              <w:spacing w:before="40" w:after="100"/>
              <w:rPr>
                <w:color w:val="000000"/>
                <w:sz w:val="20"/>
                <w:szCs w:val="20"/>
              </w:rPr>
            </w:pPr>
            <w:r w:rsidRPr="00050291">
              <w:rPr>
                <w:color w:val="000000"/>
                <w:sz w:val="20"/>
                <w:szCs w:val="20"/>
              </w:rPr>
              <w:t xml:space="preserve">Media advertising organisations </w:t>
            </w:r>
          </w:p>
        </w:tc>
        <w:tc>
          <w:tcPr>
            <w:tcW w:w="1843" w:type="dxa"/>
            <w:vMerge w:val="restart"/>
            <w:vAlign w:val="center"/>
          </w:tcPr>
          <w:p w:rsidR="00CD2798" w:rsidRPr="00050291" w:rsidRDefault="00CD2798" w:rsidP="00CD2798">
            <w:pPr>
              <w:pStyle w:val="Pa13"/>
              <w:spacing w:before="40" w:after="100"/>
              <w:jc w:val="center"/>
              <w:rPr>
                <w:color w:val="000000"/>
                <w:sz w:val="20"/>
                <w:szCs w:val="20"/>
              </w:rPr>
            </w:pPr>
            <w:r w:rsidRPr="00050291">
              <w:rPr>
                <w:color w:val="000000"/>
                <w:sz w:val="20"/>
                <w:szCs w:val="20"/>
              </w:rPr>
              <w:t>$221,876.00</w:t>
            </w: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Agricultural Publishers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$2,574.24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WA Local Government Association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$590.91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West Australian Newspapers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$17,813.65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r w:rsidRPr="00050291">
              <w:rPr>
                <w:color w:val="000000"/>
                <w:sz w:val="20"/>
                <w:szCs w:val="20"/>
              </w:rPr>
              <w:t xml:space="preserve">RACWA Holdings Pty Ltd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$5,516.00 </w:t>
            </w:r>
          </w:p>
        </w:tc>
      </w:tr>
      <w:tr w:rsidR="00CD2798" w:rsidRPr="00050291" w:rsidTr="00271B0D">
        <w:tc>
          <w:tcPr>
            <w:tcW w:w="3085" w:type="dxa"/>
            <w:vMerge/>
          </w:tcPr>
          <w:p w:rsidR="00CD2798" w:rsidRPr="00050291" w:rsidRDefault="00CD2798" w:rsidP="00F844FB">
            <w:pPr>
              <w:pStyle w:val="BodyCopy"/>
              <w:rPr>
                <w:color w:val="404040" w:themeColor="text1" w:themeTint="BF"/>
                <w:sz w:val="20"/>
                <w:szCs w:val="20"/>
              </w:rPr>
            </w:pPr>
          </w:p>
        </w:tc>
        <w:tc>
          <w:tcPr>
            <w:tcW w:w="1843" w:type="dxa"/>
            <w:vMerge/>
          </w:tcPr>
          <w:p w:rsidR="00CD2798" w:rsidRPr="00050291" w:rsidRDefault="00CD2798" w:rsidP="00F844FB">
            <w:pPr>
              <w:pStyle w:val="BodyCopy"/>
              <w:rPr>
                <w:color w:val="404040" w:themeColor="text1" w:themeTint="BF"/>
                <w:sz w:val="20"/>
                <w:szCs w:val="20"/>
              </w:rPr>
            </w:pPr>
          </w:p>
        </w:tc>
        <w:tc>
          <w:tcPr>
            <w:tcW w:w="3083" w:type="dxa"/>
          </w:tcPr>
          <w:p w:rsidR="00CD2798" w:rsidRPr="00050291" w:rsidRDefault="00CD2798">
            <w:pPr>
              <w:pStyle w:val="Pa1"/>
              <w:spacing w:before="40" w:after="100"/>
              <w:rPr>
                <w:color w:val="000000"/>
                <w:sz w:val="20"/>
                <w:szCs w:val="20"/>
              </w:rPr>
            </w:pPr>
            <w:proofErr w:type="spellStart"/>
            <w:r w:rsidRPr="00050291">
              <w:rPr>
                <w:color w:val="000000"/>
                <w:sz w:val="20"/>
                <w:szCs w:val="20"/>
              </w:rPr>
              <w:t>Adcorp</w:t>
            </w:r>
            <w:proofErr w:type="spellEnd"/>
            <w:r w:rsidRPr="00050291">
              <w:rPr>
                <w:color w:val="000000"/>
                <w:sz w:val="20"/>
                <w:szCs w:val="20"/>
              </w:rPr>
              <w:t xml:space="preserve"> Australia Limited </w:t>
            </w:r>
          </w:p>
        </w:tc>
        <w:tc>
          <w:tcPr>
            <w:tcW w:w="2671" w:type="dxa"/>
          </w:tcPr>
          <w:p w:rsidR="00CD2798" w:rsidRPr="00050291" w:rsidRDefault="00CD2798">
            <w:pPr>
              <w:pStyle w:val="Pa13"/>
              <w:spacing w:before="40" w:after="100"/>
              <w:jc w:val="center"/>
              <w:rPr>
                <w:color w:val="000000"/>
                <w:sz w:val="20"/>
                <w:szCs w:val="20"/>
              </w:rPr>
            </w:pPr>
            <w:r w:rsidRPr="00050291">
              <w:rPr>
                <w:color w:val="000000"/>
                <w:sz w:val="20"/>
                <w:szCs w:val="20"/>
              </w:rPr>
              <w:t xml:space="preserve">$195,381.20 </w:t>
            </w:r>
          </w:p>
        </w:tc>
      </w:tr>
    </w:tbl>
    <w:p w:rsidR="00A97CE9" w:rsidRPr="00050291" w:rsidRDefault="00A97CE9" w:rsidP="00A97CE9">
      <w:pPr>
        <w:pStyle w:val="Default"/>
        <w:rPr>
          <w:color w:val="auto"/>
          <w:sz w:val="20"/>
          <w:szCs w:val="20"/>
        </w:rPr>
        <w:sectPr w:rsidR="00A97CE9" w:rsidRPr="00050291" w:rsidSect="00B149BC">
          <w:pgSz w:w="11905" w:h="17337"/>
          <w:pgMar w:top="1400" w:right="1" w:bottom="0" w:left="900" w:header="720" w:footer="720" w:gutter="0"/>
          <w:cols w:space="720"/>
          <w:noEndnote/>
        </w:sectPr>
      </w:pPr>
    </w:p>
    <w:p w:rsidR="00A97CE9" w:rsidRPr="00050291" w:rsidRDefault="00A97CE9" w:rsidP="00531416">
      <w:pPr>
        <w:pStyle w:val="Heading4AR"/>
      </w:pPr>
      <w:r w:rsidRPr="00050291">
        <w:lastRenderedPageBreak/>
        <w:t xml:space="preserve">COMPLIANCE WITH SECTION 31(1) OF THE </w:t>
      </w:r>
      <w:r w:rsidRPr="00050291">
        <w:rPr>
          <w:i/>
          <w:iCs/>
        </w:rPr>
        <w:t xml:space="preserve">PUBLIC SECTOR MANAGEMENT ACT 1994 </w:t>
      </w:r>
    </w:p>
    <w:p w:rsidR="00A97CE9" w:rsidRPr="00050291" w:rsidRDefault="00A97CE9" w:rsidP="00A97CE9">
      <w:pPr>
        <w:pStyle w:val="Pa1"/>
        <w:spacing w:before="40" w:after="100"/>
        <w:rPr>
          <w:sz w:val="20"/>
          <w:szCs w:val="20"/>
        </w:rPr>
      </w:pPr>
      <w:r w:rsidRPr="00050291">
        <w:rPr>
          <w:sz w:val="20"/>
          <w:szCs w:val="20"/>
        </w:rPr>
        <w:t xml:space="preserve">The Commission is committed to continuously improving its corporate governance function in line with community and government expectations. Existing controls and checks are considered sufficient to provide a reasonable assurance of compliance with State public sector ethical codes and minimum human resource standards of merit, equity and probity. Auditing is conducted on a regular basis as part of the Commission’s internal audit program. An application may be made for a breach of standards review at any time where the circumstances warrant. No such applications were received in the year under review. </w:t>
      </w:r>
    </w:p>
    <w:p w:rsidR="00A97CE9" w:rsidRPr="00050291" w:rsidRDefault="00A97CE9" w:rsidP="00531416">
      <w:pPr>
        <w:pStyle w:val="Heading4AR"/>
      </w:pPr>
      <w:r w:rsidRPr="00050291">
        <w:t xml:space="preserve">COMPLIANCE WITH PUBLIC SECTOR STANDARDS AND ETHICAL CODES </w:t>
      </w:r>
    </w:p>
    <w:p w:rsidR="00A97CE9" w:rsidRPr="00050291" w:rsidRDefault="00A97CE9" w:rsidP="00A97CE9">
      <w:pPr>
        <w:pStyle w:val="Pa1"/>
        <w:spacing w:before="40" w:after="100"/>
        <w:rPr>
          <w:sz w:val="20"/>
          <w:szCs w:val="20"/>
        </w:rPr>
      </w:pPr>
      <w:r w:rsidRPr="00050291">
        <w:rPr>
          <w:sz w:val="20"/>
          <w:szCs w:val="20"/>
        </w:rPr>
        <w:t xml:space="preserve">The Commission is committed to ensuring that the corporate governance framework that supports the Commission’s activities is continuously improved and takes into account new and existing standards and guidelines that apply to the Western Australian public sector. </w:t>
      </w:r>
    </w:p>
    <w:p w:rsidR="00A97CE9" w:rsidRPr="00050291" w:rsidRDefault="00A97CE9" w:rsidP="00A97CE9">
      <w:pPr>
        <w:pStyle w:val="BodyCopy"/>
        <w:rPr>
          <w:color w:val="auto"/>
          <w:sz w:val="20"/>
          <w:szCs w:val="20"/>
        </w:rPr>
      </w:pPr>
      <w:r w:rsidRPr="00050291">
        <w:rPr>
          <w:color w:val="auto"/>
          <w:sz w:val="20"/>
          <w:szCs w:val="20"/>
        </w:rPr>
        <w:t xml:space="preserve">All Commission staff </w:t>
      </w:r>
      <w:proofErr w:type="gramStart"/>
      <w:r w:rsidRPr="00050291">
        <w:rPr>
          <w:color w:val="auto"/>
          <w:sz w:val="20"/>
          <w:szCs w:val="20"/>
        </w:rPr>
        <w:t>are</w:t>
      </w:r>
      <w:proofErr w:type="gramEnd"/>
      <w:r w:rsidRPr="00050291">
        <w:rPr>
          <w:color w:val="auto"/>
          <w:sz w:val="20"/>
          <w:szCs w:val="20"/>
        </w:rPr>
        <w:t xml:space="preserve"> expected to adhere to the Public Sector Commissioner’s Instruction (Number 7) – Code of Ethics, with core values being personal integrity, accountability and to maintain respectful relationships that recognise the interests, safety and welfare of the people staff encounter. </w:t>
      </w:r>
    </w:p>
    <w:p w:rsidR="00A97CE9" w:rsidRPr="00050291" w:rsidRDefault="00A97CE9" w:rsidP="00A97CE9">
      <w:pPr>
        <w:pStyle w:val="BodyCopy"/>
        <w:rPr>
          <w:color w:val="404040" w:themeColor="text1" w:themeTint="BF"/>
          <w:sz w:val="20"/>
          <w:szCs w:val="20"/>
        </w:rPr>
      </w:pPr>
      <w:r w:rsidRPr="00050291">
        <w:rPr>
          <w:color w:val="auto"/>
          <w:sz w:val="20"/>
          <w:szCs w:val="20"/>
        </w:rPr>
        <w:t>The Commission demonstrated its commitment to public sector standards and ethics by ensuring all staff attended accountable and ethical decision making training. This training discussed how Commission staff should address matters such as dealing with potential conflicts of interest and accepting gifts.</w:t>
      </w:r>
    </w:p>
    <w:p w:rsidR="00A97CE9" w:rsidRPr="00050291" w:rsidRDefault="00A97CE9" w:rsidP="00A97CE9">
      <w:pPr>
        <w:pStyle w:val="Pa1"/>
        <w:spacing w:before="40" w:after="100"/>
        <w:rPr>
          <w:sz w:val="20"/>
          <w:szCs w:val="20"/>
        </w:rPr>
      </w:pPr>
    </w:p>
    <w:p w:rsidR="00A97CE9" w:rsidRPr="00050291" w:rsidRDefault="00A97CE9" w:rsidP="00A97CE9">
      <w:pPr>
        <w:pStyle w:val="Default"/>
        <w:rPr>
          <w:color w:val="auto"/>
          <w:sz w:val="20"/>
          <w:szCs w:val="20"/>
        </w:rPr>
        <w:sectPr w:rsidR="00A97CE9" w:rsidRPr="00050291" w:rsidSect="00B149BC">
          <w:type w:val="continuous"/>
          <w:pgSz w:w="11905" w:h="17337"/>
          <w:pgMar w:top="1400" w:right="1" w:bottom="0" w:left="900" w:header="720" w:footer="720" w:gutter="0"/>
          <w:cols w:space="720"/>
          <w:noEndnote/>
        </w:sectPr>
      </w:pPr>
    </w:p>
    <w:p w:rsidR="00A97CE9" w:rsidRPr="00050291" w:rsidRDefault="00A97CE9" w:rsidP="00531416">
      <w:pPr>
        <w:pStyle w:val="Heading4AR"/>
      </w:pPr>
      <w:r w:rsidRPr="00050291">
        <w:lastRenderedPageBreak/>
        <w:t xml:space="preserve">CODE OF CONDUCT </w:t>
      </w:r>
    </w:p>
    <w:p w:rsidR="00A97CE9" w:rsidRPr="00050291" w:rsidRDefault="00A97CE9" w:rsidP="00A97CE9">
      <w:pPr>
        <w:pStyle w:val="Pa1"/>
        <w:spacing w:before="40" w:after="100"/>
        <w:rPr>
          <w:color w:val="000000"/>
          <w:sz w:val="20"/>
          <w:szCs w:val="20"/>
        </w:rPr>
      </w:pPr>
      <w:r w:rsidRPr="00050291">
        <w:rPr>
          <w:color w:val="000000"/>
          <w:sz w:val="20"/>
          <w:szCs w:val="20"/>
        </w:rPr>
        <w:t xml:space="preserve">Commission </w:t>
      </w:r>
      <w:proofErr w:type="gramStart"/>
      <w:r w:rsidRPr="00050291">
        <w:rPr>
          <w:color w:val="000000"/>
          <w:sz w:val="20"/>
          <w:szCs w:val="20"/>
        </w:rPr>
        <w:t>staff are</w:t>
      </w:r>
      <w:proofErr w:type="gramEnd"/>
      <w:r w:rsidRPr="00050291">
        <w:rPr>
          <w:color w:val="000000"/>
          <w:sz w:val="20"/>
          <w:szCs w:val="20"/>
        </w:rPr>
        <w:t xml:space="preserve"> expected to be aware of and abide by the Western Australian Electoral Commission’s Code of Conduct which sets out the key principles by which the Commission operates. The Commission has a comprehensive Code of Conduct Guidelines which supports the overarching Code of Conduct which provides practical guidance on a range of ethical issues and reinforces the Commission’s commitment to transparency and accountability. The Code expects staff to be professional, respectful, customer focused, collaborative and aims for continuous improvement. </w:t>
      </w:r>
    </w:p>
    <w:p w:rsidR="00A97CE9" w:rsidRPr="00050291" w:rsidRDefault="00A97CE9" w:rsidP="00A97CE9">
      <w:pPr>
        <w:pStyle w:val="Pa1"/>
        <w:spacing w:before="40" w:after="100"/>
        <w:rPr>
          <w:color w:val="000000"/>
          <w:sz w:val="20"/>
          <w:szCs w:val="20"/>
        </w:rPr>
      </w:pPr>
      <w:r w:rsidRPr="00050291">
        <w:rPr>
          <w:color w:val="000000"/>
          <w:sz w:val="20"/>
          <w:szCs w:val="20"/>
        </w:rPr>
        <w:t xml:space="preserve">All new staff, including casual election staff, </w:t>
      </w:r>
      <w:proofErr w:type="gramStart"/>
      <w:r w:rsidRPr="00050291">
        <w:rPr>
          <w:color w:val="000000"/>
          <w:sz w:val="20"/>
          <w:szCs w:val="20"/>
        </w:rPr>
        <w:t>are</w:t>
      </w:r>
      <w:proofErr w:type="gramEnd"/>
      <w:r w:rsidRPr="00050291">
        <w:rPr>
          <w:color w:val="000000"/>
          <w:sz w:val="20"/>
          <w:szCs w:val="20"/>
        </w:rPr>
        <w:t xml:space="preserve"> given a copy of the Code of Conduct at induction or training. Access to the Public Sector Commissioner’s Instructions, the Code of Conduct and Code of Conduct Guidelines are also available on the staff intranet. </w:t>
      </w:r>
    </w:p>
    <w:p w:rsidR="00A97CE9" w:rsidRPr="00050291" w:rsidRDefault="00A97CE9" w:rsidP="00531416">
      <w:pPr>
        <w:pStyle w:val="Heading4AR"/>
      </w:pPr>
      <w:r w:rsidRPr="00050291">
        <w:t xml:space="preserve">COMPLIANCE ISSUES </w:t>
      </w:r>
    </w:p>
    <w:p w:rsidR="00A97CE9" w:rsidRPr="00050291" w:rsidRDefault="00A97CE9" w:rsidP="00A97CE9">
      <w:pPr>
        <w:pStyle w:val="Pa1"/>
        <w:spacing w:before="40" w:after="100"/>
        <w:rPr>
          <w:sz w:val="20"/>
          <w:szCs w:val="20"/>
        </w:rPr>
      </w:pPr>
      <w:r w:rsidRPr="00050291">
        <w:rPr>
          <w:sz w:val="20"/>
          <w:szCs w:val="20"/>
        </w:rPr>
        <w:t xml:space="preserve">In conjunction with the Public Sector Commissioner’s Instructions and the Code of Conduct, internal policies and procedures are also regularly reviewed or created to address government directives, circulars and instructions. For example, Commission policies outline high level principles and procedures for staff relating to many areas including the use of IT and financial resources, human resource matters, risk management and quality assurance. </w:t>
      </w:r>
    </w:p>
    <w:p w:rsidR="00A97CE9" w:rsidRPr="00050291" w:rsidRDefault="00A97CE9" w:rsidP="00A97CE9">
      <w:pPr>
        <w:pStyle w:val="Pa1"/>
        <w:spacing w:before="40" w:after="100"/>
        <w:rPr>
          <w:sz w:val="20"/>
          <w:szCs w:val="20"/>
        </w:rPr>
      </w:pPr>
      <w:r w:rsidRPr="00050291">
        <w:rPr>
          <w:sz w:val="20"/>
          <w:szCs w:val="20"/>
        </w:rPr>
        <w:t xml:space="preserve">In the reporting period, no breach reports, complaints or evidence of non-compliance with the Public Sector Commissioner’s Instruction – Code of Ethics or the Code of Conduct – were reported. No Public Interest Disclosures were received. </w:t>
      </w:r>
    </w:p>
    <w:p w:rsidR="00A97CE9" w:rsidRPr="00050291" w:rsidRDefault="00A97CE9" w:rsidP="00531416">
      <w:pPr>
        <w:pStyle w:val="Heading4AR"/>
      </w:pPr>
      <w:r w:rsidRPr="00050291">
        <w:t xml:space="preserve">RECORD KEEPING PLAN </w:t>
      </w:r>
    </w:p>
    <w:p w:rsidR="00A97CE9" w:rsidRPr="00050291" w:rsidRDefault="00A97CE9" w:rsidP="00A97CE9">
      <w:pPr>
        <w:pStyle w:val="Pa1"/>
        <w:spacing w:before="40" w:after="100"/>
        <w:rPr>
          <w:color w:val="000000"/>
          <w:sz w:val="20"/>
          <w:szCs w:val="20"/>
        </w:rPr>
      </w:pPr>
      <w:r w:rsidRPr="00050291">
        <w:rPr>
          <w:color w:val="000000"/>
          <w:sz w:val="20"/>
          <w:szCs w:val="20"/>
        </w:rPr>
        <w:t xml:space="preserve">The Commission commenced a review of its recordkeeping software, files and systems. The intention is to maximise the efficiency and effectiveness of the existing system to ensure a more consistent, relevant structure is in place to better manage Commission records into the future, within current cost constraints. </w:t>
      </w:r>
    </w:p>
    <w:p w:rsidR="00A97CE9" w:rsidRPr="00050291" w:rsidRDefault="00A97CE9" w:rsidP="00A97CE9">
      <w:pPr>
        <w:pStyle w:val="Pa1"/>
        <w:spacing w:before="40" w:after="100"/>
        <w:rPr>
          <w:color w:val="000000"/>
          <w:sz w:val="20"/>
          <w:szCs w:val="20"/>
        </w:rPr>
      </w:pPr>
      <w:r w:rsidRPr="00050291">
        <w:rPr>
          <w:color w:val="000000"/>
          <w:sz w:val="20"/>
          <w:szCs w:val="20"/>
        </w:rPr>
        <w:t xml:space="preserve">Record management processes are addressed in the Commission’s Quality Management System. The system is audited annually by an external body. </w:t>
      </w:r>
    </w:p>
    <w:p w:rsidR="00A97CE9" w:rsidRPr="00050291" w:rsidRDefault="00A97CE9" w:rsidP="00A97CE9">
      <w:pPr>
        <w:pStyle w:val="Pa1"/>
        <w:spacing w:before="40" w:after="100"/>
        <w:rPr>
          <w:color w:val="000000"/>
          <w:sz w:val="20"/>
          <w:szCs w:val="20"/>
        </w:rPr>
      </w:pPr>
      <w:r w:rsidRPr="00050291">
        <w:rPr>
          <w:color w:val="000000"/>
          <w:sz w:val="20"/>
          <w:szCs w:val="20"/>
        </w:rPr>
        <w:t xml:space="preserve">The Commission’s Recordkeeping Plan has been approved until 2017 and the Retention and Disposal Schedule has been approved until 2016. The Recordkeeping Plan will be subject to further review in the interim as a result of upgrades and improvements made to the Commission’s recordkeeping software and processes. </w:t>
      </w:r>
    </w:p>
    <w:p w:rsidR="00A97CE9" w:rsidRPr="00050291" w:rsidRDefault="00A97CE9" w:rsidP="00A97CE9">
      <w:pPr>
        <w:pStyle w:val="BodyCopy"/>
        <w:rPr>
          <w:color w:val="404040" w:themeColor="text1" w:themeTint="BF"/>
          <w:sz w:val="20"/>
          <w:szCs w:val="20"/>
        </w:rPr>
      </w:pPr>
      <w:r w:rsidRPr="00050291">
        <w:rPr>
          <w:color w:val="000000"/>
          <w:sz w:val="20"/>
          <w:szCs w:val="20"/>
        </w:rPr>
        <w:t xml:space="preserve">New </w:t>
      </w:r>
      <w:proofErr w:type="gramStart"/>
      <w:r w:rsidRPr="00050291">
        <w:rPr>
          <w:color w:val="000000"/>
          <w:sz w:val="20"/>
          <w:szCs w:val="20"/>
        </w:rPr>
        <w:t>staff receive</w:t>
      </w:r>
      <w:proofErr w:type="gramEnd"/>
      <w:r w:rsidRPr="00050291">
        <w:rPr>
          <w:color w:val="000000"/>
          <w:sz w:val="20"/>
          <w:szCs w:val="20"/>
        </w:rPr>
        <w:t xml:space="preserve"> training on records management as part of their induction program and project officers are given a guiding document that reinforces recordkeeping obligations. Records management documents are available electronically through the Commission’s Intranet and document management system.</w:t>
      </w:r>
    </w:p>
    <w:p w:rsidR="00A97CE9" w:rsidRPr="00050291" w:rsidRDefault="00A97CE9" w:rsidP="00531416">
      <w:pPr>
        <w:pStyle w:val="Heading1AR"/>
      </w:pPr>
      <w:r w:rsidRPr="00050291">
        <w:t>GOVERNMENT POLICY REQUIREMENTS</w:t>
      </w:r>
    </w:p>
    <w:p w:rsidR="00A97CE9" w:rsidRPr="00050291" w:rsidRDefault="00A97CE9" w:rsidP="00531416">
      <w:pPr>
        <w:pStyle w:val="Heading4AR"/>
      </w:pPr>
      <w:r w:rsidRPr="00050291">
        <w:t xml:space="preserve">SUBSTANTIVE EQUALITY </w:t>
      </w:r>
    </w:p>
    <w:p w:rsidR="00A97CE9" w:rsidRPr="00050291" w:rsidRDefault="00A97CE9" w:rsidP="00A97CE9">
      <w:pPr>
        <w:pStyle w:val="Pa1"/>
        <w:spacing w:before="40" w:after="100"/>
        <w:rPr>
          <w:sz w:val="20"/>
          <w:szCs w:val="20"/>
        </w:rPr>
      </w:pPr>
      <w:r w:rsidRPr="00050291">
        <w:rPr>
          <w:sz w:val="20"/>
          <w:szCs w:val="20"/>
        </w:rPr>
        <w:t xml:space="preserve">The Commission is committed to the principles inherent in the Policy Framework for Substantive Equality and in achieving substantive equality through tailoring our services to meet the diverse needs of the community. The Commission continues to submit and champion its Equal Employment Management Plan to the Office of Equal Employment Opportunity. </w:t>
      </w:r>
    </w:p>
    <w:p w:rsidR="00A97CE9" w:rsidRPr="00050291" w:rsidRDefault="00A97CE9" w:rsidP="00531416">
      <w:pPr>
        <w:pStyle w:val="Heading4AR"/>
      </w:pPr>
      <w:r w:rsidRPr="00050291">
        <w:t xml:space="preserve">OCCUPATIONAL SAFETY, HEALTH AND INJURY MANAGEMENT </w:t>
      </w:r>
    </w:p>
    <w:p w:rsidR="00A97CE9" w:rsidRPr="00050291" w:rsidRDefault="00A97CE9" w:rsidP="00A97CE9">
      <w:pPr>
        <w:pStyle w:val="Pa1"/>
        <w:spacing w:before="40" w:after="100"/>
        <w:rPr>
          <w:color w:val="000000"/>
          <w:sz w:val="20"/>
          <w:szCs w:val="20"/>
        </w:rPr>
      </w:pPr>
      <w:r w:rsidRPr="00050291">
        <w:rPr>
          <w:color w:val="000000"/>
          <w:sz w:val="20"/>
          <w:szCs w:val="20"/>
        </w:rPr>
        <w:t xml:space="preserve">The Commission held an election for a new Occupational Safety and Health (OSH) representative in 2014 following the expiry of the two year term of the previous officer. The newly elected representative works closely with the Director, Business Services to ensure a safe environment for all staff and visitors to the organisation. </w:t>
      </w:r>
    </w:p>
    <w:p w:rsidR="00A97CE9" w:rsidRPr="00050291" w:rsidRDefault="00A97CE9" w:rsidP="00A97CE9">
      <w:pPr>
        <w:pStyle w:val="Pa1"/>
        <w:spacing w:before="40" w:after="100"/>
        <w:rPr>
          <w:color w:val="000000"/>
          <w:sz w:val="20"/>
          <w:szCs w:val="20"/>
        </w:rPr>
      </w:pPr>
      <w:r w:rsidRPr="00050291">
        <w:rPr>
          <w:color w:val="000000"/>
          <w:sz w:val="20"/>
          <w:szCs w:val="20"/>
        </w:rPr>
        <w:t xml:space="preserve">The Commission complies with the Injury Management requirements of the </w:t>
      </w:r>
      <w:r w:rsidRPr="00050291">
        <w:rPr>
          <w:i/>
          <w:iCs/>
          <w:color w:val="000000"/>
          <w:sz w:val="20"/>
          <w:szCs w:val="20"/>
        </w:rPr>
        <w:t>Workers’ Compensation and Injury Management Act 1981</w:t>
      </w:r>
      <w:r w:rsidRPr="00050291">
        <w:rPr>
          <w:color w:val="000000"/>
          <w:sz w:val="20"/>
          <w:szCs w:val="20"/>
        </w:rPr>
        <w:t xml:space="preserve">. Employees are required to immediately report any accidents and injuries that happen in the workplace and staff are regularly updated on changes to policies and procedures. </w:t>
      </w:r>
    </w:p>
    <w:p w:rsidR="00A97CE9" w:rsidRPr="00050291" w:rsidRDefault="00A97CE9" w:rsidP="00A97CE9">
      <w:pPr>
        <w:pStyle w:val="Pa1"/>
        <w:spacing w:before="40" w:after="100"/>
        <w:rPr>
          <w:color w:val="000000"/>
          <w:sz w:val="20"/>
          <w:szCs w:val="20"/>
        </w:rPr>
      </w:pPr>
      <w:r w:rsidRPr="00050291">
        <w:rPr>
          <w:color w:val="000000"/>
          <w:sz w:val="20"/>
          <w:szCs w:val="20"/>
        </w:rPr>
        <w:t xml:space="preserve">In addition to regular OSH meetings, the Commission offers the following preventative health benefits to employees: </w:t>
      </w:r>
    </w:p>
    <w:p w:rsidR="00050291" w:rsidRDefault="00A97CE9" w:rsidP="00050291">
      <w:pPr>
        <w:pStyle w:val="Pa9"/>
        <w:numPr>
          <w:ilvl w:val="0"/>
          <w:numId w:val="5"/>
        </w:numPr>
        <w:spacing w:before="40" w:after="100"/>
        <w:rPr>
          <w:color w:val="000000"/>
          <w:sz w:val="20"/>
          <w:szCs w:val="20"/>
        </w:rPr>
      </w:pPr>
      <w:r w:rsidRPr="00050291">
        <w:rPr>
          <w:color w:val="000000"/>
          <w:sz w:val="20"/>
          <w:szCs w:val="20"/>
        </w:rPr>
        <w:t xml:space="preserve">Eyesight Screening </w:t>
      </w:r>
    </w:p>
    <w:p w:rsidR="00050291" w:rsidRDefault="00A97CE9" w:rsidP="00050291">
      <w:pPr>
        <w:pStyle w:val="Pa9"/>
        <w:numPr>
          <w:ilvl w:val="0"/>
          <w:numId w:val="5"/>
        </w:numPr>
        <w:spacing w:before="40" w:after="100"/>
        <w:rPr>
          <w:color w:val="000000"/>
          <w:sz w:val="20"/>
          <w:szCs w:val="20"/>
        </w:rPr>
      </w:pPr>
      <w:r w:rsidRPr="00050291">
        <w:rPr>
          <w:color w:val="000000"/>
          <w:sz w:val="20"/>
          <w:szCs w:val="20"/>
        </w:rPr>
        <w:t xml:space="preserve">First Aid Training </w:t>
      </w:r>
    </w:p>
    <w:p w:rsidR="00050291" w:rsidRDefault="00A97CE9" w:rsidP="00050291">
      <w:pPr>
        <w:pStyle w:val="Pa9"/>
        <w:numPr>
          <w:ilvl w:val="0"/>
          <w:numId w:val="5"/>
        </w:numPr>
        <w:spacing w:before="40" w:after="100"/>
        <w:rPr>
          <w:color w:val="000000"/>
          <w:sz w:val="20"/>
          <w:szCs w:val="20"/>
        </w:rPr>
      </w:pPr>
      <w:r w:rsidRPr="00050291">
        <w:rPr>
          <w:color w:val="000000"/>
          <w:sz w:val="20"/>
          <w:szCs w:val="20"/>
        </w:rPr>
        <w:t xml:space="preserve">Flu Vaccinations </w:t>
      </w:r>
    </w:p>
    <w:p w:rsidR="00050291" w:rsidRDefault="00A97CE9" w:rsidP="00050291">
      <w:pPr>
        <w:pStyle w:val="Pa9"/>
        <w:numPr>
          <w:ilvl w:val="0"/>
          <w:numId w:val="5"/>
        </w:numPr>
        <w:spacing w:before="40" w:after="100"/>
        <w:rPr>
          <w:color w:val="000000"/>
          <w:sz w:val="20"/>
          <w:szCs w:val="20"/>
        </w:rPr>
      </w:pPr>
      <w:r w:rsidRPr="00050291">
        <w:rPr>
          <w:color w:val="000000"/>
          <w:sz w:val="20"/>
          <w:szCs w:val="20"/>
        </w:rPr>
        <w:t xml:space="preserve">Employee Assistance Program </w:t>
      </w:r>
    </w:p>
    <w:p w:rsidR="00A97CE9" w:rsidRPr="00050291" w:rsidRDefault="00A97CE9" w:rsidP="00050291">
      <w:pPr>
        <w:pStyle w:val="Pa9"/>
        <w:numPr>
          <w:ilvl w:val="0"/>
          <w:numId w:val="5"/>
        </w:numPr>
        <w:spacing w:before="40" w:after="100"/>
        <w:rPr>
          <w:color w:val="000000"/>
          <w:sz w:val="20"/>
          <w:szCs w:val="20"/>
        </w:rPr>
      </w:pPr>
      <w:r w:rsidRPr="00050291">
        <w:rPr>
          <w:color w:val="000000"/>
          <w:sz w:val="20"/>
          <w:szCs w:val="20"/>
        </w:rPr>
        <w:t xml:space="preserve">Injury Management Compliance. </w:t>
      </w:r>
    </w:p>
    <w:p w:rsidR="00271B0D" w:rsidRDefault="00271B0D" w:rsidP="00775899">
      <w:pPr>
        <w:pStyle w:val="Pa12"/>
        <w:spacing w:before="120"/>
        <w:rPr>
          <w:color w:val="0074A5"/>
        </w:rPr>
      </w:pPr>
    </w:p>
    <w:p w:rsidR="00271B0D" w:rsidRDefault="00271B0D" w:rsidP="00775899">
      <w:pPr>
        <w:pStyle w:val="Pa12"/>
        <w:spacing w:before="120"/>
        <w:rPr>
          <w:color w:val="0074A5"/>
        </w:rPr>
      </w:pPr>
    </w:p>
    <w:p w:rsidR="00A97CE9" w:rsidRPr="00050291" w:rsidRDefault="00A97CE9" w:rsidP="00531416">
      <w:pPr>
        <w:pStyle w:val="Heading4AR"/>
      </w:pPr>
      <w:r w:rsidRPr="00050291">
        <w:t xml:space="preserve">WORKSAFE PLAN </w:t>
      </w:r>
    </w:p>
    <w:p w:rsidR="00A97CE9" w:rsidRPr="00050291" w:rsidRDefault="00A97CE9" w:rsidP="00A97CE9">
      <w:pPr>
        <w:pStyle w:val="Pa1"/>
        <w:spacing w:before="40" w:after="100"/>
        <w:rPr>
          <w:color w:val="000000"/>
          <w:sz w:val="20"/>
          <w:szCs w:val="20"/>
        </w:rPr>
      </w:pPr>
      <w:r w:rsidRPr="00050291">
        <w:rPr>
          <w:color w:val="000000"/>
          <w:sz w:val="20"/>
          <w:szCs w:val="20"/>
        </w:rPr>
        <w:t xml:space="preserve">An internal assessment of the occupational safety and health management system was completed using a recognised assessment tool and reporting the percentage of agreed actions completed. The Commission being a small agency with few incidents, a self-assessment was conducted internally. </w:t>
      </w:r>
    </w:p>
    <w:p w:rsidR="00A97CE9" w:rsidRDefault="00A97CE9" w:rsidP="00A97CE9">
      <w:pPr>
        <w:pStyle w:val="BodyCopy"/>
        <w:rPr>
          <w:b/>
          <w:bCs/>
          <w:color w:val="000000"/>
        </w:rPr>
      </w:pPr>
      <w:r>
        <w:rPr>
          <w:b/>
          <w:bCs/>
          <w:color w:val="000000"/>
        </w:rPr>
        <w:t>Occupational safety, Health and Injury Management</w:t>
      </w:r>
    </w:p>
    <w:tbl>
      <w:tblPr>
        <w:tblW w:w="0" w:type="auto"/>
        <w:tblBorders>
          <w:insideH w:val="single" w:sz="4" w:space="0" w:color="auto"/>
          <w:insideV w:val="single" w:sz="4" w:space="0" w:color="auto"/>
        </w:tblBorders>
        <w:tblLayout w:type="fixed"/>
        <w:tblLook w:val="0000" w:firstRow="0" w:lastRow="0" w:firstColumn="0" w:lastColumn="0" w:noHBand="0" w:noVBand="0"/>
      </w:tblPr>
      <w:tblGrid>
        <w:gridCol w:w="1242"/>
        <w:gridCol w:w="993"/>
        <w:gridCol w:w="992"/>
        <w:gridCol w:w="850"/>
        <w:gridCol w:w="993"/>
      </w:tblGrid>
      <w:tr w:rsidR="00A97CE9" w:rsidRPr="00A97CE9" w:rsidTr="004F3AD0">
        <w:trPr>
          <w:trHeight w:val="411"/>
        </w:trPr>
        <w:tc>
          <w:tcPr>
            <w:tcW w:w="1242"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6"/>
                <w:szCs w:val="16"/>
              </w:rPr>
            </w:pPr>
            <w:r w:rsidRPr="00A97CE9">
              <w:rPr>
                <w:rFonts w:ascii="Arial" w:hAnsi="Arial" w:cs="Arial"/>
                <w:b/>
                <w:bCs/>
                <w:color w:val="000000"/>
                <w:sz w:val="16"/>
                <w:szCs w:val="16"/>
              </w:rPr>
              <w:t xml:space="preserve">Period </w:t>
            </w:r>
          </w:p>
        </w:tc>
        <w:tc>
          <w:tcPr>
            <w:tcW w:w="993"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6"/>
                <w:szCs w:val="16"/>
              </w:rPr>
            </w:pPr>
            <w:r w:rsidRPr="00A97CE9">
              <w:rPr>
                <w:rFonts w:ascii="Arial" w:hAnsi="Arial" w:cs="Arial"/>
                <w:b/>
                <w:bCs/>
                <w:color w:val="000000"/>
                <w:sz w:val="16"/>
                <w:szCs w:val="16"/>
              </w:rPr>
              <w:t xml:space="preserve">Fatalities </w:t>
            </w:r>
          </w:p>
        </w:tc>
        <w:tc>
          <w:tcPr>
            <w:tcW w:w="992"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6"/>
                <w:szCs w:val="16"/>
              </w:rPr>
            </w:pPr>
            <w:r w:rsidRPr="00A97CE9">
              <w:rPr>
                <w:rFonts w:ascii="Arial" w:hAnsi="Arial" w:cs="Arial"/>
                <w:b/>
                <w:bCs/>
                <w:color w:val="000000"/>
                <w:sz w:val="16"/>
                <w:szCs w:val="16"/>
              </w:rPr>
              <w:t xml:space="preserve">Lost Time Injury or Disease </w:t>
            </w:r>
          </w:p>
        </w:tc>
        <w:tc>
          <w:tcPr>
            <w:tcW w:w="850"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6"/>
                <w:szCs w:val="16"/>
              </w:rPr>
            </w:pPr>
            <w:r w:rsidRPr="00A97CE9">
              <w:rPr>
                <w:rFonts w:ascii="Arial" w:hAnsi="Arial" w:cs="Arial"/>
                <w:b/>
                <w:bCs/>
                <w:color w:val="000000"/>
                <w:sz w:val="16"/>
                <w:szCs w:val="16"/>
              </w:rPr>
              <w:t xml:space="preserve">Severe Claims </w:t>
            </w:r>
          </w:p>
        </w:tc>
        <w:tc>
          <w:tcPr>
            <w:tcW w:w="993"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6"/>
                <w:szCs w:val="16"/>
              </w:rPr>
            </w:pPr>
            <w:r w:rsidRPr="00A97CE9">
              <w:rPr>
                <w:rFonts w:ascii="Arial" w:hAnsi="Arial" w:cs="Arial"/>
                <w:b/>
                <w:bCs/>
                <w:color w:val="000000"/>
                <w:sz w:val="16"/>
                <w:szCs w:val="16"/>
              </w:rPr>
              <w:t xml:space="preserve">Lost Time Injury Severity Rate </w:t>
            </w:r>
          </w:p>
        </w:tc>
      </w:tr>
      <w:tr w:rsidR="00A97CE9" w:rsidRPr="00A97CE9" w:rsidTr="004F3AD0">
        <w:trPr>
          <w:trHeight w:val="371"/>
        </w:trPr>
        <w:tc>
          <w:tcPr>
            <w:tcW w:w="1242"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01/07/2014 to 30/06/2015 </w:t>
            </w:r>
          </w:p>
        </w:tc>
        <w:tc>
          <w:tcPr>
            <w:tcW w:w="993"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 </w:t>
            </w:r>
          </w:p>
        </w:tc>
        <w:tc>
          <w:tcPr>
            <w:tcW w:w="992"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 </w:t>
            </w:r>
          </w:p>
        </w:tc>
        <w:tc>
          <w:tcPr>
            <w:tcW w:w="850"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 </w:t>
            </w:r>
          </w:p>
        </w:tc>
        <w:tc>
          <w:tcPr>
            <w:tcW w:w="993"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 </w:t>
            </w:r>
          </w:p>
        </w:tc>
      </w:tr>
      <w:tr w:rsidR="00A97CE9" w:rsidRPr="00A97CE9" w:rsidTr="004F3AD0">
        <w:trPr>
          <w:trHeight w:val="371"/>
        </w:trPr>
        <w:tc>
          <w:tcPr>
            <w:tcW w:w="1242"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01/07/2013 to 30/06/2014 </w:t>
            </w:r>
          </w:p>
        </w:tc>
        <w:tc>
          <w:tcPr>
            <w:tcW w:w="993"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 </w:t>
            </w:r>
          </w:p>
        </w:tc>
        <w:tc>
          <w:tcPr>
            <w:tcW w:w="992"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1 </w:t>
            </w:r>
          </w:p>
        </w:tc>
        <w:tc>
          <w:tcPr>
            <w:tcW w:w="850"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1 </w:t>
            </w:r>
          </w:p>
        </w:tc>
        <w:tc>
          <w:tcPr>
            <w:tcW w:w="993"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100.0000 </w:t>
            </w:r>
          </w:p>
        </w:tc>
      </w:tr>
      <w:tr w:rsidR="00A97CE9" w:rsidRPr="00A97CE9" w:rsidTr="004F3AD0">
        <w:trPr>
          <w:trHeight w:val="371"/>
        </w:trPr>
        <w:tc>
          <w:tcPr>
            <w:tcW w:w="1242"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01/07/2012 to 30/06/2013 </w:t>
            </w:r>
          </w:p>
        </w:tc>
        <w:tc>
          <w:tcPr>
            <w:tcW w:w="993"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 </w:t>
            </w:r>
          </w:p>
        </w:tc>
        <w:tc>
          <w:tcPr>
            <w:tcW w:w="992"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 </w:t>
            </w:r>
          </w:p>
        </w:tc>
        <w:tc>
          <w:tcPr>
            <w:tcW w:w="850"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 xml:space="preserve">0 </w:t>
            </w:r>
          </w:p>
        </w:tc>
        <w:tc>
          <w:tcPr>
            <w:tcW w:w="993" w:type="dxa"/>
          </w:tcPr>
          <w:p w:rsidR="00A97CE9" w:rsidRPr="00A97CE9" w:rsidRDefault="00A97CE9" w:rsidP="00A97CE9">
            <w:pPr>
              <w:autoSpaceDE w:val="0"/>
              <w:autoSpaceDN w:val="0"/>
              <w:adjustRightInd w:val="0"/>
              <w:spacing w:before="40" w:after="100" w:line="191" w:lineRule="atLeast"/>
              <w:jc w:val="center"/>
              <w:rPr>
                <w:rFonts w:ascii="Arial" w:hAnsi="Arial" w:cs="Arial"/>
                <w:color w:val="000000"/>
                <w:sz w:val="19"/>
                <w:szCs w:val="19"/>
              </w:rPr>
            </w:pPr>
            <w:r w:rsidRPr="00A97CE9">
              <w:rPr>
                <w:rFonts w:ascii="Arial" w:hAnsi="Arial" w:cs="Arial"/>
                <w:color w:val="000000"/>
                <w:sz w:val="19"/>
                <w:szCs w:val="19"/>
              </w:rPr>
              <w:t>0</w:t>
            </w:r>
          </w:p>
        </w:tc>
      </w:tr>
    </w:tbl>
    <w:p w:rsidR="004F3AD0" w:rsidRPr="00050291" w:rsidRDefault="00271B0D" w:rsidP="00531416">
      <w:pPr>
        <w:pStyle w:val="Heading2AR"/>
      </w:pPr>
      <w:r>
        <w:rPr>
          <w:color w:val="000000"/>
        </w:rPr>
        <w:br/>
      </w:r>
      <w:r w:rsidR="004F3AD0" w:rsidRPr="00050291">
        <w:t>GOVERNANCE AND OTHER FINANCIAL DISCLOSURES</w:t>
      </w:r>
    </w:p>
    <w:p w:rsidR="004F3AD0" w:rsidRPr="00050291" w:rsidRDefault="004F3AD0" w:rsidP="00531416">
      <w:pPr>
        <w:pStyle w:val="Heading4AR"/>
      </w:pPr>
      <w:r w:rsidRPr="00050291">
        <w:t xml:space="preserve">MINISTERIAL DIRECTIVES </w:t>
      </w:r>
    </w:p>
    <w:p w:rsidR="004F3AD0" w:rsidRPr="00050291" w:rsidRDefault="004F3AD0" w:rsidP="004F3AD0">
      <w:pPr>
        <w:pStyle w:val="Pa1"/>
        <w:spacing w:before="40" w:after="100"/>
        <w:rPr>
          <w:color w:val="000000"/>
          <w:sz w:val="20"/>
          <w:szCs w:val="20"/>
        </w:rPr>
      </w:pPr>
      <w:r w:rsidRPr="00050291">
        <w:rPr>
          <w:color w:val="000000"/>
          <w:sz w:val="20"/>
          <w:szCs w:val="20"/>
        </w:rPr>
        <w:t xml:space="preserve">No Ministerial directives were received during the financial year. </w:t>
      </w:r>
    </w:p>
    <w:p w:rsidR="004F3AD0" w:rsidRPr="00050291" w:rsidRDefault="004F3AD0" w:rsidP="00531416">
      <w:pPr>
        <w:pStyle w:val="Heading4AR"/>
      </w:pPr>
      <w:r w:rsidRPr="00050291">
        <w:t xml:space="preserve">PRICING POLICIES OF SERVICES PROVIDED </w:t>
      </w:r>
    </w:p>
    <w:p w:rsidR="004F3AD0" w:rsidRPr="00050291" w:rsidRDefault="004F3AD0" w:rsidP="004F3AD0">
      <w:pPr>
        <w:pStyle w:val="Pa1"/>
        <w:spacing w:before="40" w:after="100"/>
        <w:rPr>
          <w:color w:val="000000"/>
          <w:sz w:val="20"/>
          <w:szCs w:val="20"/>
        </w:rPr>
      </w:pPr>
      <w:r w:rsidRPr="00050291">
        <w:rPr>
          <w:color w:val="000000"/>
          <w:sz w:val="20"/>
          <w:szCs w:val="20"/>
        </w:rPr>
        <w:t xml:space="preserve">The Commission charges for services rendered in regard to the conduct of non-parliamentary elections, on a full cost recovery basis. These fees and charges were determined in accordance with ‘Costing and Pricing Government Services’ published by the Department of Treasury. </w:t>
      </w:r>
    </w:p>
    <w:p w:rsidR="004F3AD0" w:rsidRPr="00050291" w:rsidRDefault="004F3AD0" w:rsidP="00531416">
      <w:pPr>
        <w:pStyle w:val="Heading4AR"/>
      </w:pPr>
      <w:r w:rsidRPr="00050291">
        <w:t xml:space="preserve">CONTRACTS WITH SENIOR OFFICERS </w:t>
      </w:r>
    </w:p>
    <w:p w:rsidR="004F3AD0" w:rsidRPr="00050291" w:rsidRDefault="004F3AD0" w:rsidP="004F3AD0">
      <w:pPr>
        <w:pStyle w:val="Pa1"/>
        <w:spacing w:before="40" w:after="100"/>
        <w:rPr>
          <w:color w:val="000000"/>
          <w:sz w:val="20"/>
          <w:szCs w:val="20"/>
        </w:rPr>
      </w:pPr>
      <w:r w:rsidRPr="00050291">
        <w:rPr>
          <w:color w:val="000000"/>
          <w:sz w:val="20"/>
          <w:szCs w:val="20"/>
        </w:rPr>
        <w:t xml:space="preserve">At the date of reporting, other than normal contracts of employment of service, no senior officers, or firms of which senior officers are members, or entities in which senior officers have substantial interest had any interests in existing or proposed contracts with the Commission and senior officers. </w:t>
      </w:r>
    </w:p>
    <w:p w:rsidR="004F3AD0" w:rsidRPr="00050291" w:rsidRDefault="004F3AD0" w:rsidP="004F3AD0">
      <w:pPr>
        <w:pStyle w:val="Pa1"/>
        <w:spacing w:before="40" w:after="100"/>
        <w:rPr>
          <w:color w:val="000000"/>
          <w:sz w:val="20"/>
          <w:szCs w:val="20"/>
        </w:rPr>
      </w:pPr>
      <w:r w:rsidRPr="00050291">
        <w:rPr>
          <w:color w:val="000000"/>
          <w:sz w:val="20"/>
          <w:szCs w:val="20"/>
        </w:rPr>
        <w:t xml:space="preserve">At the date of signing I am not aware of any circumstance which would render the particulars included in the above statements as misleading or inaccurate. </w:t>
      </w:r>
    </w:p>
    <w:p w:rsidR="004F3AD0" w:rsidRPr="00050291" w:rsidRDefault="004F3AD0" w:rsidP="00531416">
      <w:pPr>
        <w:pStyle w:val="Heading4AR"/>
      </w:pPr>
      <w:r w:rsidRPr="00050291">
        <w:t xml:space="preserve">FREEDOM OF INFORMATION </w:t>
      </w:r>
    </w:p>
    <w:p w:rsidR="004F3AD0" w:rsidRPr="00050291" w:rsidRDefault="004F3AD0" w:rsidP="004F3AD0">
      <w:pPr>
        <w:pStyle w:val="BodyCopy"/>
        <w:rPr>
          <w:color w:val="000000"/>
          <w:sz w:val="20"/>
          <w:szCs w:val="20"/>
        </w:rPr>
      </w:pPr>
      <w:r w:rsidRPr="00050291">
        <w:rPr>
          <w:color w:val="000000"/>
          <w:sz w:val="20"/>
          <w:szCs w:val="20"/>
        </w:rPr>
        <w:t>The Commission did not receive any Freedom of Information applications during 2014–15.</w:t>
      </w:r>
    </w:p>
    <w:p w:rsidR="004F3AD0" w:rsidRDefault="004F3AD0" w:rsidP="004F3AD0">
      <w:pPr>
        <w:pStyle w:val="BodyCopy"/>
        <w:rPr>
          <w:rFonts w:cs="Myriad Pro"/>
          <w:color w:val="000000"/>
          <w:sz w:val="42"/>
          <w:szCs w:val="42"/>
        </w:rPr>
      </w:pPr>
      <w:r>
        <w:rPr>
          <w:rFonts w:cs="Myriad Pro"/>
          <w:color w:val="000000"/>
          <w:sz w:val="42"/>
          <w:szCs w:val="42"/>
        </w:rPr>
        <w:br w:type="page"/>
      </w:r>
    </w:p>
    <w:p w:rsidR="004F3AD0" w:rsidRPr="00050291" w:rsidRDefault="004F3AD0" w:rsidP="00531416">
      <w:pPr>
        <w:pStyle w:val="Heading2AR"/>
      </w:pPr>
      <w:r w:rsidRPr="00050291">
        <w:lastRenderedPageBreak/>
        <w:t>KEY PERFORMANCE INDICATORS</w:t>
      </w:r>
    </w:p>
    <w:p w:rsidR="004F3AD0" w:rsidRPr="00050291" w:rsidRDefault="004F3AD0" w:rsidP="00531416">
      <w:pPr>
        <w:pStyle w:val="Heading4AR"/>
      </w:pPr>
      <w:r w:rsidRPr="00050291">
        <w:t xml:space="preserve">CERTIFICATION OF KEY PERFORMANCE INDICATOR </w:t>
      </w:r>
    </w:p>
    <w:p w:rsidR="004F3AD0" w:rsidRPr="00050291" w:rsidRDefault="004F3AD0" w:rsidP="004F3AD0">
      <w:pPr>
        <w:pStyle w:val="BodyCopy"/>
        <w:rPr>
          <w:color w:val="000000"/>
          <w:sz w:val="20"/>
          <w:szCs w:val="20"/>
        </w:rPr>
      </w:pPr>
      <w:r w:rsidRPr="00050291">
        <w:rPr>
          <w:color w:val="000000"/>
          <w:sz w:val="20"/>
          <w:szCs w:val="20"/>
        </w:rPr>
        <w:t>I hereby certify that the key perfo</w:t>
      </w:r>
      <w:r w:rsidR="00775899">
        <w:rPr>
          <w:color w:val="000000"/>
          <w:sz w:val="20"/>
          <w:szCs w:val="20"/>
        </w:rPr>
        <w:t>r</w:t>
      </w:r>
      <w:r w:rsidRPr="00050291">
        <w:rPr>
          <w:color w:val="000000"/>
          <w:sz w:val="20"/>
          <w:szCs w:val="20"/>
        </w:rPr>
        <w:t>mance indicators are based on proper records, are relevant and appropriate for assisting users to assess the Western Australian Electoral Commission’s performance, and fairly represent the performance of the Western Australian Electoral Commission for the financial year ended 30 June 2015.</w:t>
      </w:r>
    </w:p>
    <w:p w:rsidR="004F3AD0" w:rsidRPr="00050291" w:rsidRDefault="004F3AD0" w:rsidP="00531416">
      <w:pPr>
        <w:pStyle w:val="Heading2AR"/>
      </w:pPr>
      <w:r w:rsidRPr="00050291">
        <w:t>KEY PERFORMANCE INDICATORS</w:t>
      </w:r>
    </w:p>
    <w:p w:rsidR="004F3AD0" w:rsidRPr="00050291" w:rsidRDefault="004F3AD0" w:rsidP="00531416">
      <w:pPr>
        <w:pStyle w:val="Heading4AR"/>
      </w:pPr>
      <w:r w:rsidRPr="00050291">
        <w:t xml:space="preserve">GOVERNMENT GOAL </w:t>
      </w:r>
    </w:p>
    <w:p w:rsidR="004F3AD0" w:rsidRPr="00050291" w:rsidRDefault="004F3AD0" w:rsidP="004F3AD0">
      <w:pPr>
        <w:pStyle w:val="Pa1"/>
        <w:spacing w:before="40" w:after="100"/>
        <w:rPr>
          <w:color w:val="000000"/>
          <w:sz w:val="20"/>
          <w:szCs w:val="20"/>
        </w:rPr>
      </w:pPr>
      <w:r w:rsidRPr="00050291">
        <w:rPr>
          <w:b/>
          <w:bCs/>
          <w:color w:val="000000"/>
          <w:sz w:val="20"/>
          <w:szCs w:val="20"/>
        </w:rPr>
        <w:t xml:space="preserve">Result Based Service Delivery: </w:t>
      </w:r>
      <w:r w:rsidRPr="00050291">
        <w:rPr>
          <w:color w:val="000000"/>
          <w:sz w:val="20"/>
          <w:szCs w:val="20"/>
        </w:rPr>
        <w:t xml:space="preserve">Greater focus on achieving results in key service delivery areas for the benefit of all Western Australians. </w:t>
      </w:r>
    </w:p>
    <w:p w:rsidR="004F3AD0" w:rsidRPr="00050291" w:rsidRDefault="004F3AD0" w:rsidP="00531416">
      <w:pPr>
        <w:pStyle w:val="Heading4AR"/>
      </w:pPr>
      <w:r w:rsidRPr="00050291">
        <w:rPr>
          <w:rStyle w:val="A14"/>
          <w:color w:val="0074A5"/>
          <w:sz w:val="24"/>
          <w:szCs w:val="24"/>
        </w:rPr>
        <w:t xml:space="preserve">DESIRED OUTCOME </w:t>
      </w:r>
    </w:p>
    <w:p w:rsidR="004F3AD0" w:rsidRPr="00050291" w:rsidRDefault="004F3AD0" w:rsidP="004F3AD0">
      <w:pPr>
        <w:pStyle w:val="Pa1"/>
        <w:spacing w:before="40" w:after="100"/>
        <w:rPr>
          <w:sz w:val="20"/>
          <w:szCs w:val="20"/>
        </w:rPr>
      </w:pPr>
      <w:r w:rsidRPr="00050291">
        <w:rPr>
          <w:sz w:val="20"/>
          <w:szCs w:val="20"/>
        </w:rPr>
        <w:t xml:space="preserve">Western Australian electors participate in independent and impartial elections or referenda conducted by the Commission as part of democratic processes. </w:t>
      </w:r>
    </w:p>
    <w:p w:rsidR="004F3AD0" w:rsidRPr="00050291" w:rsidRDefault="004F3AD0" w:rsidP="00531416">
      <w:pPr>
        <w:pStyle w:val="Heading4AR"/>
        <w:rPr>
          <w:rStyle w:val="A14"/>
          <w:color w:val="0074A5"/>
          <w:sz w:val="24"/>
          <w:szCs w:val="24"/>
        </w:rPr>
      </w:pPr>
      <w:r w:rsidRPr="00050291">
        <w:rPr>
          <w:rStyle w:val="A14"/>
          <w:color w:val="0074A5"/>
          <w:sz w:val="24"/>
          <w:szCs w:val="24"/>
        </w:rPr>
        <w:t xml:space="preserve">SERVICE </w:t>
      </w:r>
    </w:p>
    <w:p w:rsidR="004F3AD0" w:rsidRPr="00050291" w:rsidRDefault="004F3AD0" w:rsidP="004F3AD0">
      <w:pPr>
        <w:autoSpaceDE w:val="0"/>
        <w:autoSpaceDN w:val="0"/>
        <w:adjustRightInd w:val="0"/>
        <w:spacing w:before="40" w:after="100" w:line="191" w:lineRule="atLeast"/>
        <w:rPr>
          <w:rFonts w:ascii="Arial" w:hAnsi="Arial" w:cs="Arial"/>
          <w:sz w:val="20"/>
          <w:szCs w:val="20"/>
        </w:rPr>
      </w:pPr>
      <w:proofErr w:type="gramStart"/>
      <w:r w:rsidRPr="00050291">
        <w:rPr>
          <w:rFonts w:ascii="Arial" w:hAnsi="Arial" w:cs="Arial"/>
          <w:sz w:val="20"/>
          <w:szCs w:val="20"/>
        </w:rPr>
        <w:t>Provision of independent, impartial and efficient electoral services to electors of Parliament and other electoral clients.</w:t>
      </w:r>
      <w:proofErr w:type="gramEnd"/>
    </w:p>
    <w:p w:rsidR="004F3AD0" w:rsidRDefault="004F3AD0" w:rsidP="004F3AD0">
      <w:pPr>
        <w:pStyle w:val="Pa1"/>
        <w:spacing w:before="40" w:after="100"/>
        <w:rPr>
          <w:color w:val="000000"/>
          <w:sz w:val="22"/>
          <w:szCs w:val="22"/>
        </w:rPr>
      </w:pPr>
    </w:p>
    <w:tbl>
      <w:tblPr>
        <w:tblW w:w="10688" w:type="dxa"/>
        <w:tblBorders>
          <w:top w:val="nil"/>
          <w:left w:val="nil"/>
          <w:bottom w:val="nil"/>
          <w:right w:val="nil"/>
        </w:tblBorders>
        <w:tblLayout w:type="fixed"/>
        <w:tblLook w:val="0000" w:firstRow="0" w:lastRow="0" w:firstColumn="0" w:lastColumn="0" w:noHBand="0" w:noVBand="0"/>
      </w:tblPr>
      <w:tblGrid>
        <w:gridCol w:w="2093"/>
        <w:gridCol w:w="1417"/>
        <w:gridCol w:w="993"/>
        <w:gridCol w:w="1237"/>
        <w:gridCol w:w="1237"/>
        <w:gridCol w:w="1237"/>
        <w:gridCol w:w="1237"/>
        <w:gridCol w:w="1237"/>
      </w:tblGrid>
      <w:tr w:rsidR="004F3AD0" w:rsidRPr="004F3AD0" w:rsidTr="004F3AD0">
        <w:trPr>
          <w:trHeight w:val="254"/>
        </w:trPr>
        <w:tc>
          <w:tcPr>
            <w:tcW w:w="3510" w:type="dxa"/>
            <w:gridSpan w:val="2"/>
            <w:tcBorders>
              <w:bottom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rPr>
                <w:rFonts w:ascii="Arial" w:hAnsi="Arial" w:cs="Arial"/>
                <w:color w:val="000000"/>
                <w:sz w:val="20"/>
                <w:szCs w:val="20"/>
              </w:rPr>
            </w:pPr>
            <w:r w:rsidRPr="004F3AD0">
              <w:rPr>
                <w:rFonts w:ascii="Arial" w:hAnsi="Arial" w:cs="Arial"/>
                <w:b/>
                <w:bCs/>
                <w:color w:val="000000"/>
                <w:sz w:val="20"/>
                <w:szCs w:val="20"/>
              </w:rPr>
              <w:t xml:space="preserve">Key Effectiveness Indicators </w:t>
            </w:r>
          </w:p>
        </w:tc>
        <w:tc>
          <w:tcPr>
            <w:tcW w:w="993" w:type="dxa"/>
            <w:tcBorders>
              <w:left w:val="single" w:sz="4" w:space="0" w:color="auto"/>
              <w:bottom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b/>
                <w:bCs/>
                <w:color w:val="000000"/>
                <w:sz w:val="20"/>
                <w:szCs w:val="20"/>
              </w:rPr>
              <w:t>2011-12 Actual</w:t>
            </w:r>
          </w:p>
        </w:tc>
        <w:tc>
          <w:tcPr>
            <w:tcW w:w="1237" w:type="dxa"/>
            <w:tcBorders>
              <w:left w:val="single" w:sz="4" w:space="0" w:color="auto"/>
              <w:bottom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b/>
                <w:bCs/>
                <w:color w:val="000000"/>
                <w:sz w:val="20"/>
                <w:szCs w:val="20"/>
              </w:rPr>
              <w:t>2012-13 Actual</w:t>
            </w:r>
          </w:p>
        </w:tc>
        <w:tc>
          <w:tcPr>
            <w:tcW w:w="1237" w:type="dxa"/>
            <w:tcBorders>
              <w:left w:val="single" w:sz="4" w:space="0" w:color="auto"/>
              <w:bottom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b/>
                <w:bCs/>
                <w:color w:val="000000"/>
                <w:sz w:val="20"/>
                <w:szCs w:val="20"/>
              </w:rPr>
              <w:t>2013-14 Actual</w:t>
            </w:r>
          </w:p>
        </w:tc>
        <w:tc>
          <w:tcPr>
            <w:tcW w:w="1237" w:type="dxa"/>
            <w:tcBorders>
              <w:left w:val="single" w:sz="4" w:space="0" w:color="auto"/>
              <w:bottom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b/>
                <w:bCs/>
                <w:color w:val="000000"/>
                <w:sz w:val="20"/>
                <w:szCs w:val="20"/>
              </w:rPr>
              <w:t xml:space="preserve">2014-15 Actual </w:t>
            </w:r>
          </w:p>
        </w:tc>
        <w:tc>
          <w:tcPr>
            <w:tcW w:w="1237" w:type="dxa"/>
            <w:tcBorders>
              <w:left w:val="single" w:sz="4" w:space="0" w:color="auto"/>
              <w:bottom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b/>
                <w:bCs/>
                <w:color w:val="000000"/>
                <w:sz w:val="20"/>
                <w:szCs w:val="20"/>
              </w:rPr>
              <w:t xml:space="preserve">2014-15 Target </w:t>
            </w:r>
          </w:p>
        </w:tc>
        <w:tc>
          <w:tcPr>
            <w:tcW w:w="1237" w:type="dxa"/>
            <w:tcBorders>
              <w:left w:val="single" w:sz="4" w:space="0" w:color="auto"/>
              <w:bottom w:val="single" w:sz="4" w:space="0" w:color="auto"/>
            </w:tcBorders>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b/>
                <w:bCs/>
                <w:color w:val="000000"/>
                <w:sz w:val="20"/>
                <w:szCs w:val="20"/>
              </w:rPr>
              <w:t xml:space="preserve">Variation </w:t>
            </w:r>
          </w:p>
        </w:tc>
      </w:tr>
      <w:tr w:rsidR="004F3AD0" w:rsidRPr="004F3AD0" w:rsidTr="004F3AD0">
        <w:trPr>
          <w:trHeight w:val="371"/>
        </w:trPr>
        <w:tc>
          <w:tcPr>
            <w:tcW w:w="3510" w:type="dxa"/>
            <w:gridSpan w:val="2"/>
            <w:tcBorders>
              <w:top w:val="single" w:sz="4" w:space="0" w:color="auto"/>
              <w:bottom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rPr>
                <w:rFonts w:ascii="Arial" w:hAnsi="Arial" w:cs="Arial"/>
                <w:color w:val="000000"/>
                <w:sz w:val="20"/>
                <w:szCs w:val="20"/>
              </w:rPr>
            </w:pPr>
            <w:r w:rsidRPr="004F3AD0">
              <w:rPr>
                <w:rFonts w:ascii="Arial" w:hAnsi="Arial" w:cs="Arial"/>
                <w:color w:val="000000"/>
                <w:sz w:val="20"/>
                <w:szCs w:val="20"/>
              </w:rPr>
              <w:t xml:space="preserve">The number of relevant breaches of "Declaration by Officer" (Form 1) upheld by a Court of Disputed Returns </w:t>
            </w:r>
          </w:p>
        </w:tc>
        <w:tc>
          <w:tcPr>
            <w:tcW w:w="993"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Nil</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Nil</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Nil</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Nil</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Nil</w:t>
            </w:r>
          </w:p>
        </w:tc>
        <w:tc>
          <w:tcPr>
            <w:tcW w:w="1237" w:type="dxa"/>
            <w:tcBorders>
              <w:top w:val="single" w:sz="4" w:space="0" w:color="auto"/>
              <w:left w:val="single" w:sz="4" w:space="0" w:color="auto"/>
              <w:bottom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 xml:space="preserve">Nil </w:t>
            </w:r>
            <w:r w:rsidRPr="00AA3B88">
              <w:rPr>
                <w:rFonts w:ascii="Arial" w:hAnsi="Arial" w:cs="Arial"/>
                <w:color w:val="000000"/>
                <w:sz w:val="20"/>
                <w:szCs w:val="20"/>
              </w:rPr>
              <w:t>(a)</w:t>
            </w:r>
          </w:p>
        </w:tc>
      </w:tr>
      <w:tr w:rsidR="004F3AD0" w:rsidRPr="004F3AD0" w:rsidTr="004F3AD0">
        <w:trPr>
          <w:trHeight w:val="248"/>
        </w:trPr>
        <w:tc>
          <w:tcPr>
            <w:tcW w:w="3510" w:type="dxa"/>
            <w:gridSpan w:val="2"/>
            <w:tcBorders>
              <w:top w:val="single" w:sz="4" w:space="0" w:color="auto"/>
              <w:bottom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rPr>
                <w:rFonts w:ascii="Arial" w:hAnsi="Arial" w:cs="Arial"/>
                <w:color w:val="000000"/>
                <w:sz w:val="20"/>
                <w:szCs w:val="20"/>
              </w:rPr>
            </w:pPr>
            <w:r w:rsidRPr="004F3AD0">
              <w:rPr>
                <w:rFonts w:ascii="Arial" w:hAnsi="Arial" w:cs="Arial"/>
                <w:color w:val="000000"/>
                <w:sz w:val="20"/>
                <w:szCs w:val="20"/>
              </w:rPr>
              <w:t xml:space="preserve">Percentage eligible electors on the State Electoral Roll </w:t>
            </w:r>
          </w:p>
        </w:tc>
        <w:tc>
          <w:tcPr>
            <w:tcW w:w="993"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86.01%</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89.20%</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88.40%</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87.49%</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90.40%</w:t>
            </w:r>
          </w:p>
        </w:tc>
        <w:tc>
          <w:tcPr>
            <w:tcW w:w="1237" w:type="dxa"/>
            <w:tcBorders>
              <w:top w:val="single" w:sz="4" w:space="0" w:color="auto"/>
              <w:left w:val="single" w:sz="4" w:space="0" w:color="auto"/>
              <w:bottom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 xml:space="preserve">-2.91% </w:t>
            </w:r>
            <w:r w:rsidRPr="00AA3B88">
              <w:rPr>
                <w:rFonts w:ascii="Arial" w:hAnsi="Arial" w:cs="Arial"/>
                <w:color w:val="000000"/>
                <w:sz w:val="20"/>
                <w:szCs w:val="20"/>
              </w:rPr>
              <w:t>(b)</w:t>
            </w:r>
          </w:p>
        </w:tc>
      </w:tr>
      <w:tr w:rsidR="004F3AD0" w:rsidRPr="004F3AD0" w:rsidTr="004F3AD0">
        <w:trPr>
          <w:trHeight w:val="643"/>
        </w:trPr>
        <w:tc>
          <w:tcPr>
            <w:tcW w:w="2093" w:type="dxa"/>
            <w:vMerge w:val="restart"/>
            <w:tcBorders>
              <w:top w:val="single" w:sz="4" w:space="0" w:color="auto"/>
              <w:bottom w:val="nil"/>
            </w:tcBorders>
          </w:tcPr>
          <w:p w:rsidR="004F3AD0" w:rsidRPr="004F3AD0" w:rsidRDefault="004F3AD0" w:rsidP="004F3AD0">
            <w:pPr>
              <w:autoSpaceDE w:val="0"/>
              <w:autoSpaceDN w:val="0"/>
              <w:adjustRightInd w:val="0"/>
              <w:spacing w:before="40" w:after="100" w:line="191" w:lineRule="atLeast"/>
              <w:rPr>
                <w:rFonts w:ascii="Arial" w:hAnsi="Arial" w:cs="Arial"/>
                <w:color w:val="000000"/>
                <w:sz w:val="20"/>
                <w:szCs w:val="20"/>
              </w:rPr>
            </w:pPr>
            <w:r w:rsidRPr="004F3AD0">
              <w:rPr>
                <w:rFonts w:ascii="Arial" w:hAnsi="Arial" w:cs="Arial"/>
                <w:color w:val="000000"/>
                <w:sz w:val="20"/>
                <w:szCs w:val="20"/>
              </w:rPr>
              <w:t xml:space="preserve">Percentage of enrolled electors voting in State Elections </w:t>
            </w:r>
            <w:r w:rsidRPr="00AA3B88">
              <w:rPr>
                <w:rFonts w:ascii="Arial" w:hAnsi="Arial" w:cs="Arial"/>
                <w:color w:val="000000"/>
                <w:sz w:val="20"/>
                <w:szCs w:val="20"/>
              </w:rPr>
              <w:br/>
            </w:r>
            <w:r w:rsidRPr="004F3AD0">
              <w:rPr>
                <w:rFonts w:ascii="Arial" w:hAnsi="Arial" w:cs="Arial"/>
                <w:color w:val="000000"/>
                <w:sz w:val="20"/>
                <w:szCs w:val="20"/>
              </w:rPr>
              <w:t xml:space="preserve">(or by-elections) or referenda </w:t>
            </w:r>
          </w:p>
        </w:tc>
        <w:tc>
          <w:tcPr>
            <w:tcW w:w="1417" w:type="dxa"/>
            <w:tcBorders>
              <w:top w:val="single" w:sz="4" w:space="0" w:color="auto"/>
              <w:bottom w:val="nil"/>
              <w:right w:val="single" w:sz="4" w:space="0" w:color="auto"/>
            </w:tcBorders>
          </w:tcPr>
          <w:p w:rsidR="004F3AD0" w:rsidRPr="004F3AD0" w:rsidRDefault="004F3AD0" w:rsidP="004F3AD0">
            <w:pPr>
              <w:autoSpaceDE w:val="0"/>
              <w:autoSpaceDN w:val="0"/>
              <w:adjustRightInd w:val="0"/>
              <w:spacing w:before="40" w:after="100" w:line="191" w:lineRule="atLeast"/>
              <w:rPr>
                <w:rFonts w:ascii="Arial" w:hAnsi="Arial" w:cs="Arial"/>
                <w:color w:val="000000"/>
                <w:sz w:val="20"/>
                <w:szCs w:val="20"/>
              </w:rPr>
            </w:pPr>
            <w:r w:rsidRPr="004F3AD0">
              <w:rPr>
                <w:rFonts w:ascii="Arial" w:hAnsi="Arial" w:cs="Arial"/>
                <w:color w:val="000000"/>
                <w:sz w:val="20"/>
                <w:szCs w:val="20"/>
              </w:rPr>
              <w:t xml:space="preserve">State </w:t>
            </w:r>
            <w:r w:rsidRPr="00AA3B88">
              <w:rPr>
                <w:rFonts w:ascii="Arial" w:hAnsi="Arial" w:cs="Arial"/>
                <w:color w:val="000000"/>
                <w:sz w:val="20"/>
                <w:szCs w:val="20"/>
              </w:rPr>
              <w:br/>
            </w:r>
            <w:r w:rsidRPr="004F3AD0">
              <w:rPr>
                <w:rFonts w:ascii="Arial" w:hAnsi="Arial" w:cs="Arial"/>
                <w:color w:val="000000"/>
                <w:sz w:val="20"/>
                <w:szCs w:val="20"/>
              </w:rPr>
              <w:t xml:space="preserve">General Election </w:t>
            </w:r>
          </w:p>
        </w:tc>
        <w:tc>
          <w:tcPr>
            <w:tcW w:w="993" w:type="dxa"/>
            <w:tcBorders>
              <w:top w:val="single" w:sz="4" w:space="0" w:color="auto"/>
              <w:left w:val="single" w:sz="4" w:space="0" w:color="auto"/>
              <w:bottom w:val="nil"/>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single" w:sz="4" w:space="0" w:color="auto"/>
              <w:left w:val="single" w:sz="4" w:space="0" w:color="auto"/>
              <w:bottom w:val="nil"/>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89.20%</w:t>
            </w:r>
          </w:p>
        </w:tc>
        <w:tc>
          <w:tcPr>
            <w:tcW w:w="1237" w:type="dxa"/>
            <w:tcBorders>
              <w:top w:val="single" w:sz="4" w:space="0" w:color="auto"/>
              <w:left w:val="single" w:sz="4" w:space="0" w:color="auto"/>
              <w:bottom w:val="nil"/>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single" w:sz="4" w:space="0" w:color="auto"/>
              <w:left w:val="single" w:sz="4" w:space="0" w:color="auto"/>
              <w:bottom w:val="nil"/>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single" w:sz="4" w:space="0" w:color="auto"/>
              <w:left w:val="single" w:sz="4" w:space="0" w:color="auto"/>
              <w:bottom w:val="nil"/>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single" w:sz="4" w:space="0" w:color="auto"/>
              <w:left w:val="single" w:sz="4" w:space="0" w:color="auto"/>
              <w:bottom w:val="nil"/>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r w:rsidRPr="00AA3B88">
              <w:rPr>
                <w:rFonts w:ascii="Arial" w:hAnsi="Arial" w:cs="Arial"/>
                <w:color w:val="000000"/>
                <w:sz w:val="20"/>
                <w:szCs w:val="20"/>
              </w:rPr>
              <w:t>(c)</w:t>
            </w:r>
          </w:p>
        </w:tc>
      </w:tr>
      <w:tr w:rsidR="004F3AD0" w:rsidRPr="004F3AD0" w:rsidTr="004F3AD0">
        <w:trPr>
          <w:trHeight w:val="126"/>
        </w:trPr>
        <w:tc>
          <w:tcPr>
            <w:tcW w:w="2093" w:type="dxa"/>
            <w:vMerge/>
            <w:tcBorders>
              <w:top w:val="nil"/>
              <w:bottom w:val="nil"/>
            </w:tcBorders>
          </w:tcPr>
          <w:p w:rsidR="004F3AD0" w:rsidRPr="004F3AD0" w:rsidRDefault="004F3AD0" w:rsidP="004F3AD0">
            <w:pPr>
              <w:autoSpaceDE w:val="0"/>
              <w:autoSpaceDN w:val="0"/>
              <w:adjustRightInd w:val="0"/>
              <w:spacing w:after="0" w:line="240" w:lineRule="auto"/>
              <w:rPr>
                <w:rFonts w:ascii="Arial" w:hAnsi="Arial" w:cs="Arial"/>
                <w:sz w:val="20"/>
                <w:szCs w:val="20"/>
              </w:rPr>
            </w:pPr>
          </w:p>
        </w:tc>
        <w:tc>
          <w:tcPr>
            <w:tcW w:w="1417" w:type="dxa"/>
            <w:tcBorders>
              <w:top w:val="nil"/>
              <w:bottom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rPr>
                <w:rFonts w:ascii="Arial" w:hAnsi="Arial" w:cs="Arial"/>
                <w:color w:val="000000"/>
                <w:sz w:val="20"/>
                <w:szCs w:val="20"/>
              </w:rPr>
            </w:pPr>
            <w:r w:rsidRPr="004F3AD0">
              <w:rPr>
                <w:rFonts w:ascii="Arial" w:hAnsi="Arial" w:cs="Arial"/>
                <w:color w:val="000000"/>
                <w:sz w:val="20"/>
                <w:szCs w:val="20"/>
              </w:rPr>
              <w:t xml:space="preserve">By-election </w:t>
            </w:r>
          </w:p>
        </w:tc>
        <w:tc>
          <w:tcPr>
            <w:tcW w:w="993" w:type="dxa"/>
            <w:tcBorders>
              <w:top w:val="nil"/>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nil"/>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nil"/>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nil"/>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82.58%</w:t>
            </w:r>
          </w:p>
        </w:tc>
        <w:tc>
          <w:tcPr>
            <w:tcW w:w="1237" w:type="dxa"/>
            <w:tcBorders>
              <w:top w:val="nil"/>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nil"/>
              <w:left w:val="single" w:sz="4" w:space="0" w:color="auto"/>
              <w:bottom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82.58%</w:t>
            </w:r>
            <w:r w:rsidRPr="00AA3B88">
              <w:rPr>
                <w:rFonts w:ascii="Arial" w:hAnsi="Arial" w:cs="Arial"/>
                <w:color w:val="000000"/>
                <w:sz w:val="20"/>
                <w:szCs w:val="20"/>
              </w:rPr>
              <w:t>(d)</w:t>
            </w:r>
          </w:p>
        </w:tc>
      </w:tr>
      <w:tr w:rsidR="004F3AD0" w:rsidRPr="004F3AD0" w:rsidTr="004F3AD0">
        <w:trPr>
          <w:trHeight w:val="126"/>
        </w:trPr>
        <w:tc>
          <w:tcPr>
            <w:tcW w:w="2093" w:type="dxa"/>
            <w:vMerge/>
            <w:tcBorders>
              <w:top w:val="nil"/>
              <w:bottom w:val="single" w:sz="4" w:space="0" w:color="auto"/>
            </w:tcBorders>
          </w:tcPr>
          <w:p w:rsidR="004F3AD0" w:rsidRPr="004F3AD0" w:rsidRDefault="004F3AD0" w:rsidP="004F3AD0">
            <w:pPr>
              <w:autoSpaceDE w:val="0"/>
              <w:autoSpaceDN w:val="0"/>
              <w:adjustRightInd w:val="0"/>
              <w:spacing w:after="0" w:line="240" w:lineRule="auto"/>
              <w:rPr>
                <w:rFonts w:ascii="Arial" w:hAnsi="Arial" w:cs="Arial"/>
                <w:sz w:val="20"/>
                <w:szCs w:val="20"/>
              </w:rPr>
            </w:pPr>
          </w:p>
        </w:tc>
        <w:tc>
          <w:tcPr>
            <w:tcW w:w="1417" w:type="dxa"/>
            <w:tcBorders>
              <w:top w:val="single" w:sz="4" w:space="0" w:color="auto"/>
              <w:bottom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rPr>
                <w:rFonts w:ascii="Arial" w:hAnsi="Arial" w:cs="Arial"/>
                <w:color w:val="000000"/>
                <w:sz w:val="20"/>
                <w:szCs w:val="20"/>
              </w:rPr>
            </w:pPr>
            <w:r w:rsidRPr="004F3AD0">
              <w:rPr>
                <w:rFonts w:ascii="Arial" w:hAnsi="Arial" w:cs="Arial"/>
                <w:color w:val="000000"/>
                <w:sz w:val="20"/>
                <w:szCs w:val="20"/>
              </w:rPr>
              <w:t xml:space="preserve">Referenda </w:t>
            </w:r>
          </w:p>
        </w:tc>
        <w:tc>
          <w:tcPr>
            <w:tcW w:w="993"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single" w:sz="4" w:space="0" w:color="auto"/>
              <w:left w:val="single" w:sz="4" w:space="0" w:color="auto"/>
              <w:bottom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single" w:sz="4" w:space="0" w:color="auto"/>
              <w:left w:val="single" w:sz="4" w:space="0" w:color="auto"/>
              <w:bottom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n/a</w:t>
            </w:r>
            <w:r w:rsidRPr="00AA3B88">
              <w:rPr>
                <w:rFonts w:ascii="Arial" w:hAnsi="Arial" w:cs="Arial"/>
                <w:color w:val="000000"/>
                <w:sz w:val="20"/>
                <w:szCs w:val="20"/>
              </w:rPr>
              <w:t>(e)</w:t>
            </w:r>
          </w:p>
        </w:tc>
      </w:tr>
      <w:tr w:rsidR="004F3AD0" w:rsidRPr="004F3AD0" w:rsidTr="004F3AD0">
        <w:trPr>
          <w:trHeight w:val="493"/>
        </w:trPr>
        <w:tc>
          <w:tcPr>
            <w:tcW w:w="3510" w:type="dxa"/>
            <w:gridSpan w:val="2"/>
            <w:tcBorders>
              <w:top w:val="single" w:sz="4" w:space="0" w:color="auto"/>
              <w:right w:val="single" w:sz="4" w:space="0" w:color="auto"/>
            </w:tcBorders>
          </w:tcPr>
          <w:p w:rsidR="004F3AD0" w:rsidRPr="004F3AD0" w:rsidRDefault="004F3AD0" w:rsidP="004F3AD0">
            <w:pPr>
              <w:autoSpaceDE w:val="0"/>
              <w:autoSpaceDN w:val="0"/>
              <w:adjustRightInd w:val="0"/>
              <w:spacing w:before="40" w:after="100" w:line="191" w:lineRule="atLeast"/>
              <w:rPr>
                <w:rFonts w:ascii="Arial" w:hAnsi="Arial" w:cs="Arial"/>
                <w:color w:val="000000"/>
                <w:sz w:val="20"/>
                <w:szCs w:val="20"/>
              </w:rPr>
            </w:pPr>
            <w:r w:rsidRPr="004F3AD0">
              <w:rPr>
                <w:rFonts w:ascii="Arial" w:hAnsi="Arial" w:cs="Arial"/>
                <w:color w:val="000000"/>
                <w:sz w:val="20"/>
                <w:szCs w:val="20"/>
              </w:rPr>
              <w:t xml:space="preserve">Average percentage of enrolled electors voting in local government ordinary postal election or referenda conducted by the Commission </w:t>
            </w:r>
          </w:p>
        </w:tc>
        <w:tc>
          <w:tcPr>
            <w:tcW w:w="993" w:type="dxa"/>
            <w:tcBorders>
              <w:top w:val="single" w:sz="4" w:space="0" w:color="auto"/>
              <w:left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30.94%</w:t>
            </w:r>
          </w:p>
        </w:tc>
        <w:tc>
          <w:tcPr>
            <w:tcW w:w="1237" w:type="dxa"/>
            <w:tcBorders>
              <w:top w:val="single" w:sz="4" w:space="0" w:color="auto"/>
              <w:left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ind w:left="34" w:hanging="34"/>
              <w:jc w:val="center"/>
              <w:rPr>
                <w:rFonts w:ascii="Arial" w:hAnsi="Arial" w:cs="Arial"/>
                <w:color w:val="000000"/>
                <w:sz w:val="20"/>
                <w:szCs w:val="20"/>
              </w:rPr>
            </w:pPr>
            <w:r w:rsidRPr="004F3AD0">
              <w:rPr>
                <w:rFonts w:ascii="Arial" w:hAnsi="Arial" w:cs="Arial"/>
                <w:color w:val="000000"/>
                <w:sz w:val="20"/>
                <w:szCs w:val="20"/>
              </w:rPr>
              <w:t>n/a</w:t>
            </w:r>
          </w:p>
        </w:tc>
        <w:tc>
          <w:tcPr>
            <w:tcW w:w="1237" w:type="dxa"/>
            <w:tcBorders>
              <w:top w:val="single" w:sz="4" w:space="0" w:color="auto"/>
              <w:left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27.80%</w:t>
            </w:r>
          </w:p>
        </w:tc>
        <w:tc>
          <w:tcPr>
            <w:tcW w:w="1237" w:type="dxa"/>
            <w:tcBorders>
              <w:top w:val="single" w:sz="4" w:space="0" w:color="auto"/>
              <w:left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43.70%</w:t>
            </w:r>
          </w:p>
        </w:tc>
        <w:tc>
          <w:tcPr>
            <w:tcW w:w="1237" w:type="dxa"/>
            <w:tcBorders>
              <w:top w:val="single" w:sz="4" w:space="0" w:color="auto"/>
              <w:left w:val="single" w:sz="4" w:space="0" w:color="auto"/>
              <w:righ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28%</w:t>
            </w:r>
          </w:p>
        </w:tc>
        <w:tc>
          <w:tcPr>
            <w:tcW w:w="1237" w:type="dxa"/>
            <w:tcBorders>
              <w:top w:val="single" w:sz="4" w:space="0" w:color="auto"/>
              <w:left w:val="single" w:sz="4" w:space="0" w:color="auto"/>
            </w:tcBorders>
            <w:vAlign w:val="center"/>
          </w:tcPr>
          <w:p w:rsidR="004F3AD0" w:rsidRPr="004F3AD0" w:rsidRDefault="004F3AD0" w:rsidP="004F3AD0">
            <w:pPr>
              <w:autoSpaceDE w:val="0"/>
              <w:autoSpaceDN w:val="0"/>
              <w:adjustRightInd w:val="0"/>
              <w:spacing w:before="40" w:after="100" w:line="191" w:lineRule="atLeast"/>
              <w:jc w:val="center"/>
              <w:rPr>
                <w:rFonts w:ascii="Arial" w:hAnsi="Arial" w:cs="Arial"/>
                <w:color w:val="000000"/>
                <w:sz w:val="20"/>
                <w:szCs w:val="20"/>
              </w:rPr>
            </w:pPr>
            <w:r w:rsidRPr="004F3AD0">
              <w:rPr>
                <w:rFonts w:ascii="Arial" w:hAnsi="Arial" w:cs="Arial"/>
                <w:color w:val="000000"/>
                <w:sz w:val="20"/>
                <w:szCs w:val="20"/>
              </w:rPr>
              <w:t xml:space="preserve">15.70% </w:t>
            </w:r>
            <w:r w:rsidRPr="00AA3B88">
              <w:rPr>
                <w:rFonts w:ascii="Arial" w:hAnsi="Arial" w:cs="Arial"/>
                <w:color w:val="000000"/>
                <w:sz w:val="20"/>
                <w:szCs w:val="20"/>
              </w:rPr>
              <w:t>(e)</w:t>
            </w:r>
          </w:p>
        </w:tc>
      </w:tr>
    </w:tbl>
    <w:p w:rsidR="004F3AD0" w:rsidRPr="00AA3B88" w:rsidRDefault="004F3AD0" w:rsidP="004F3AD0">
      <w:pPr>
        <w:pStyle w:val="Pa16"/>
        <w:tabs>
          <w:tab w:val="left" w:pos="709"/>
        </w:tabs>
        <w:spacing w:before="40" w:after="40"/>
        <w:ind w:left="1134" w:hanging="1134"/>
        <w:rPr>
          <w:color w:val="000000"/>
          <w:sz w:val="18"/>
          <w:szCs w:val="18"/>
        </w:rPr>
      </w:pPr>
      <w:r w:rsidRPr="00AA3B88">
        <w:rPr>
          <w:color w:val="000000"/>
          <w:sz w:val="18"/>
          <w:szCs w:val="18"/>
        </w:rPr>
        <w:t>Note:</w:t>
      </w:r>
      <w:r w:rsidRPr="00AA3B88">
        <w:rPr>
          <w:color w:val="000000"/>
          <w:sz w:val="18"/>
          <w:szCs w:val="18"/>
        </w:rPr>
        <w:tab/>
        <w:t xml:space="preserve">(a) </w:t>
      </w:r>
      <w:r w:rsidRPr="00AA3B88">
        <w:rPr>
          <w:color w:val="000000"/>
          <w:sz w:val="18"/>
          <w:szCs w:val="18"/>
        </w:rPr>
        <w:tab/>
        <w:t xml:space="preserve">The number of relevant breaches of “Declaration by Officer” form is an indicator which reflects the Commission’s objective of conducting impartial and independent elections. </w:t>
      </w:r>
    </w:p>
    <w:p w:rsidR="004F3AD0" w:rsidRPr="00AA3B88" w:rsidRDefault="004F3AD0" w:rsidP="004F3AD0">
      <w:pPr>
        <w:pStyle w:val="Pa16"/>
        <w:tabs>
          <w:tab w:val="left" w:pos="709"/>
        </w:tabs>
        <w:spacing w:before="40" w:after="40"/>
        <w:ind w:left="1134" w:hanging="1134"/>
        <w:rPr>
          <w:color w:val="000000"/>
          <w:sz w:val="18"/>
          <w:szCs w:val="18"/>
        </w:rPr>
      </w:pPr>
      <w:r w:rsidRPr="00AA3B88">
        <w:rPr>
          <w:color w:val="000000"/>
          <w:sz w:val="18"/>
          <w:szCs w:val="18"/>
        </w:rPr>
        <w:tab/>
        <w:t xml:space="preserve">(b) </w:t>
      </w:r>
      <w:r w:rsidRPr="00AA3B88">
        <w:rPr>
          <w:color w:val="000000"/>
          <w:sz w:val="18"/>
          <w:szCs w:val="18"/>
        </w:rPr>
        <w:tab/>
        <w:t xml:space="preserve">The percentage of eligible electors on the State electoral roll is an indicator that provides a link to the Commission’s objective of enabling electors to participate in the electoral process. The estimated eligible population is provided by the Australian Electoral Commission by utilising Australian Bureau of Statistics census data as it becomes available while the State Electoral data is provided by the WA Electoral Commission based on the total number of electors enrolled as at 30 June 2015. </w:t>
      </w:r>
    </w:p>
    <w:p w:rsidR="004F3AD0" w:rsidRPr="00AA3B88" w:rsidRDefault="004F3AD0" w:rsidP="004F3AD0">
      <w:pPr>
        <w:pStyle w:val="Pa16"/>
        <w:tabs>
          <w:tab w:val="left" w:pos="709"/>
        </w:tabs>
        <w:spacing w:before="40" w:after="40"/>
        <w:ind w:left="1134" w:hanging="1134"/>
        <w:rPr>
          <w:color w:val="000000"/>
          <w:sz w:val="18"/>
          <w:szCs w:val="18"/>
        </w:rPr>
      </w:pPr>
      <w:r w:rsidRPr="00AA3B88">
        <w:rPr>
          <w:color w:val="000000"/>
          <w:sz w:val="18"/>
          <w:szCs w:val="18"/>
        </w:rPr>
        <w:tab/>
        <w:t xml:space="preserve">(c) </w:t>
      </w:r>
      <w:r w:rsidRPr="00AA3B88">
        <w:rPr>
          <w:color w:val="000000"/>
          <w:sz w:val="18"/>
          <w:szCs w:val="18"/>
        </w:rPr>
        <w:tab/>
        <w:t xml:space="preserve">There were no State General Elections or Referenda conducted in the 2014-15 Financial Year. </w:t>
      </w:r>
    </w:p>
    <w:p w:rsidR="004F3AD0" w:rsidRPr="00AA3B88" w:rsidRDefault="004F3AD0" w:rsidP="004F3AD0">
      <w:pPr>
        <w:pStyle w:val="Pa16"/>
        <w:tabs>
          <w:tab w:val="left" w:pos="709"/>
        </w:tabs>
        <w:spacing w:before="40" w:after="40"/>
        <w:ind w:left="1134" w:hanging="1134"/>
        <w:rPr>
          <w:color w:val="000000"/>
          <w:sz w:val="18"/>
          <w:szCs w:val="18"/>
        </w:rPr>
      </w:pPr>
      <w:r w:rsidRPr="00AA3B88">
        <w:rPr>
          <w:color w:val="000000"/>
          <w:sz w:val="18"/>
          <w:szCs w:val="18"/>
        </w:rPr>
        <w:tab/>
        <w:t xml:space="preserve">(d) </w:t>
      </w:r>
      <w:r w:rsidRPr="00AA3B88">
        <w:rPr>
          <w:color w:val="000000"/>
          <w:sz w:val="18"/>
          <w:szCs w:val="18"/>
        </w:rPr>
        <w:tab/>
        <w:t xml:space="preserve">The percentage indicates the number of enrolled electors that voted in the by-election of Vasse to fill the vacated position between the State General Elections. The indicator reflects the Commission’s effectiveness in enabling electors to participate in the electoral process. </w:t>
      </w:r>
    </w:p>
    <w:p w:rsidR="004F3AD0" w:rsidRPr="00AA3B88" w:rsidRDefault="004F3AD0" w:rsidP="004F3AD0">
      <w:pPr>
        <w:pStyle w:val="BodyCopy"/>
        <w:tabs>
          <w:tab w:val="left" w:pos="709"/>
        </w:tabs>
        <w:spacing w:before="40" w:after="40"/>
        <w:ind w:left="1134" w:hanging="1134"/>
        <w:rPr>
          <w:color w:val="000000"/>
          <w:sz w:val="18"/>
          <w:szCs w:val="18"/>
        </w:rPr>
      </w:pPr>
      <w:r w:rsidRPr="00AA3B88">
        <w:rPr>
          <w:color w:val="000000"/>
          <w:sz w:val="18"/>
          <w:szCs w:val="18"/>
        </w:rPr>
        <w:tab/>
        <w:t xml:space="preserve">(e) </w:t>
      </w:r>
      <w:r w:rsidRPr="00AA3B88">
        <w:rPr>
          <w:color w:val="000000"/>
          <w:sz w:val="18"/>
          <w:szCs w:val="18"/>
        </w:rPr>
        <w:tab/>
        <w:t>The rates provide a key indicator of the commission’s effectiveness in enabling electors to participate in the local government electoral process. The reported year’s participation is higher than previous year due to referenda elections conducted for the proposed amal</w:t>
      </w:r>
      <w:r w:rsidR="00775899">
        <w:rPr>
          <w:color w:val="000000"/>
          <w:sz w:val="18"/>
          <w:szCs w:val="18"/>
        </w:rPr>
        <w:t xml:space="preserve">gamation </w:t>
      </w:r>
      <w:r w:rsidRPr="00AA3B88">
        <w:rPr>
          <w:color w:val="000000"/>
          <w:sz w:val="18"/>
          <w:szCs w:val="18"/>
        </w:rPr>
        <w:t>of local councils.</w:t>
      </w:r>
    </w:p>
    <w:p w:rsidR="00ED7FB4" w:rsidRDefault="00ED7FB4" w:rsidP="004F3AD0">
      <w:pPr>
        <w:pStyle w:val="BodyCopy"/>
        <w:tabs>
          <w:tab w:val="left" w:pos="709"/>
        </w:tabs>
        <w:spacing w:before="40" w:after="40"/>
        <w:ind w:left="1134" w:hanging="1134"/>
        <w:rPr>
          <w:color w:val="000000"/>
          <w:sz w:val="16"/>
          <w:szCs w:val="16"/>
        </w:rPr>
      </w:pPr>
      <w:r>
        <w:rPr>
          <w:color w:val="000000"/>
          <w:sz w:val="16"/>
          <w:szCs w:val="16"/>
        </w:rPr>
        <w:br w:type="page"/>
      </w:r>
    </w:p>
    <w:tbl>
      <w:tblPr>
        <w:tblW w:w="10603" w:type="dxa"/>
        <w:tblBorders>
          <w:top w:val="nil"/>
          <w:left w:val="nil"/>
          <w:bottom w:val="nil"/>
          <w:right w:val="nil"/>
        </w:tblBorders>
        <w:tblLayout w:type="fixed"/>
        <w:tblLook w:val="0000" w:firstRow="0" w:lastRow="0" w:firstColumn="0" w:lastColumn="0" w:noHBand="0" w:noVBand="0"/>
      </w:tblPr>
      <w:tblGrid>
        <w:gridCol w:w="1802"/>
        <w:gridCol w:w="1277"/>
        <w:gridCol w:w="994"/>
        <w:gridCol w:w="1241"/>
        <w:gridCol w:w="1237"/>
        <w:gridCol w:w="10"/>
        <w:gridCol w:w="1218"/>
        <w:gridCol w:w="9"/>
        <w:gridCol w:w="1223"/>
        <w:gridCol w:w="14"/>
        <w:gridCol w:w="1289"/>
        <w:gridCol w:w="281"/>
        <w:gridCol w:w="8"/>
      </w:tblGrid>
      <w:tr w:rsidR="0042304B" w:rsidRPr="00AA3B88" w:rsidTr="0042304B">
        <w:trPr>
          <w:gridAfter w:val="2"/>
          <w:wAfter w:w="289" w:type="dxa"/>
          <w:trHeight w:val="254"/>
        </w:trPr>
        <w:tc>
          <w:tcPr>
            <w:tcW w:w="3079" w:type="dxa"/>
            <w:gridSpan w:val="2"/>
            <w:tcBorders>
              <w:bottom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rPr>
                <w:rFonts w:ascii="Arial" w:hAnsi="Arial" w:cs="Arial"/>
                <w:color w:val="000000"/>
                <w:sz w:val="20"/>
                <w:szCs w:val="20"/>
              </w:rPr>
            </w:pPr>
            <w:r w:rsidRPr="00ED7FB4">
              <w:rPr>
                <w:rFonts w:ascii="Arial" w:hAnsi="Arial" w:cs="Arial"/>
                <w:b/>
                <w:bCs/>
                <w:color w:val="000000"/>
                <w:sz w:val="20"/>
                <w:szCs w:val="20"/>
              </w:rPr>
              <w:lastRenderedPageBreak/>
              <w:t xml:space="preserve">Key Efficiency Indicators </w:t>
            </w:r>
          </w:p>
        </w:tc>
        <w:tc>
          <w:tcPr>
            <w:tcW w:w="994" w:type="dxa"/>
            <w:tcBorders>
              <w:left w:val="single" w:sz="4" w:space="0" w:color="auto"/>
              <w:bottom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b/>
                <w:bCs/>
                <w:color w:val="000000"/>
                <w:sz w:val="20"/>
                <w:szCs w:val="20"/>
              </w:rPr>
              <w:t xml:space="preserve">2011-12 Actual </w:t>
            </w:r>
          </w:p>
        </w:tc>
        <w:tc>
          <w:tcPr>
            <w:tcW w:w="1241" w:type="dxa"/>
            <w:tcBorders>
              <w:left w:val="single" w:sz="4" w:space="0" w:color="auto"/>
              <w:bottom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b/>
                <w:bCs/>
                <w:color w:val="000000"/>
                <w:sz w:val="20"/>
                <w:szCs w:val="20"/>
              </w:rPr>
              <w:t xml:space="preserve">2012-13 Actual </w:t>
            </w:r>
          </w:p>
        </w:tc>
        <w:tc>
          <w:tcPr>
            <w:tcW w:w="1237" w:type="dxa"/>
            <w:tcBorders>
              <w:left w:val="single" w:sz="4" w:space="0" w:color="auto"/>
              <w:bottom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b/>
                <w:bCs/>
                <w:color w:val="000000"/>
                <w:sz w:val="20"/>
                <w:szCs w:val="20"/>
              </w:rPr>
              <w:t xml:space="preserve">2013-14 Actual </w:t>
            </w:r>
          </w:p>
        </w:tc>
        <w:tc>
          <w:tcPr>
            <w:tcW w:w="1237" w:type="dxa"/>
            <w:gridSpan w:val="3"/>
            <w:tcBorders>
              <w:left w:val="single" w:sz="4" w:space="0" w:color="auto"/>
              <w:bottom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b/>
                <w:bCs/>
                <w:color w:val="000000"/>
                <w:sz w:val="20"/>
                <w:szCs w:val="20"/>
              </w:rPr>
              <w:t xml:space="preserve">2014-15 Actual </w:t>
            </w:r>
          </w:p>
        </w:tc>
        <w:tc>
          <w:tcPr>
            <w:tcW w:w="1237" w:type="dxa"/>
            <w:gridSpan w:val="2"/>
            <w:tcBorders>
              <w:left w:val="single" w:sz="4" w:space="0" w:color="auto"/>
              <w:bottom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b/>
                <w:bCs/>
                <w:color w:val="000000"/>
                <w:sz w:val="20"/>
                <w:szCs w:val="20"/>
              </w:rPr>
              <w:t xml:space="preserve">2014-15 Target </w:t>
            </w:r>
          </w:p>
        </w:tc>
        <w:tc>
          <w:tcPr>
            <w:tcW w:w="1289" w:type="dxa"/>
            <w:tcBorders>
              <w:left w:val="single" w:sz="4" w:space="0" w:color="auto"/>
              <w:bottom w:val="single" w:sz="4" w:space="0" w:color="auto"/>
            </w:tcBorders>
          </w:tcPr>
          <w:p w:rsidR="00ED7FB4" w:rsidRPr="00ED7FB4" w:rsidRDefault="00ED7FB4" w:rsidP="00ED7FB4">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b/>
                <w:bCs/>
                <w:color w:val="000000"/>
                <w:sz w:val="20"/>
                <w:szCs w:val="20"/>
              </w:rPr>
              <w:t xml:space="preserve">Variation </w:t>
            </w:r>
          </w:p>
        </w:tc>
      </w:tr>
      <w:tr w:rsidR="0042304B" w:rsidRPr="00AA3B88" w:rsidTr="002C0B6D">
        <w:trPr>
          <w:gridAfter w:val="2"/>
          <w:wAfter w:w="289" w:type="dxa"/>
          <w:trHeight w:val="371"/>
        </w:trPr>
        <w:tc>
          <w:tcPr>
            <w:tcW w:w="3079" w:type="dxa"/>
            <w:gridSpan w:val="2"/>
            <w:tcBorders>
              <w:top w:val="single" w:sz="4" w:space="0" w:color="auto"/>
              <w:bottom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rPr>
                <w:rFonts w:ascii="Arial" w:hAnsi="Arial" w:cs="Arial"/>
                <w:color w:val="000000"/>
                <w:sz w:val="20"/>
                <w:szCs w:val="20"/>
              </w:rPr>
            </w:pPr>
            <w:r w:rsidRPr="00ED7FB4">
              <w:rPr>
                <w:rFonts w:ascii="Arial" w:hAnsi="Arial" w:cs="Arial"/>
                <w:color w:val="000000"/>
                <w:sz w:val="20"/>
                <w:szCs w:val="20"/>
              </w:rPr>
              <w:t xml:space="preserve">Average Cost per Elector of Providing Electoral Services (Enrolment and Election Management) </w:t>
            </w:r>
          </w:p>
        </w:tc>
        <w:tc>
          <w:tcPr>
            <w:tcW w:w="994"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$5.59</w:t>
            </w:r>
          </w:p>
        </w:tc>
        <w:tc>
          <w:tcPr>
            <w:tcW w:w="1241"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$5.74</w:t>
            </w:r>
          </w:p>
        </w:tc>
        <w:tc>
          <w:tcPr>
            <w:tcW w:w="1237"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$4.81</w:t>
            </w:r>
          </w:p>
        </w:tc>
        <w:tc>
          <w:tcPr>
            <w:tcW w:w="1237" w:type="dxa"/>
            <w:gridSpan w:val="3"/>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$5.23</w:t>
            </w:r>
          </w:p>
        </w:tc>
        <w:tc>
          <w:tcPr>
            <w:tcW w:w="1237" w:type="dxa"/>
            <w:gridSpan w:val="2"/>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$4.86</w:t>
            </w:r>
          </w:p>
        </w:tc>
        <w:tc>
          <w:tcPr>
            <w:tcW w:w="1289" w:type="dxa"/>
            <w:tcBorders>
              <w:top w:val="single" w:sz="4" w:space="0" w:color="auto"/>
              <w:left w:val="single" w:sz="4" w:space="0" w:color="auto"/>
              <w:bottom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$0.37</w:t>
            </w:r>
            <w:r w:rsidRPr="00AA3B88">
              <w:rPr>
                <w:rFonts w:ascii="Arial" w:hAnsi="Arial" w:cs="Arial"/>
                <w:color w:val="000000"/>
                <w:sz w:val="20"/>
                <w:szCs w:val="20"/>
              </w:rPr>
              <w:t>(a)</w:t>
            </w:r>
          </w:p>
        </w:tc>
      </w:tr>
      <w:tr w:rsidR="0042304B" w:rsidRPr="00AA3B88" w:rsidTr="002C0B6D">
        <w:trPr>
          <w:gridAfter w:val="2"/>
          <w:wAfter w:w="289" w:type="dxa"/>
          <w:trHeight w:val="659"/>
        </w:trPr>
        <w:tc>
          <w:tcPr>
            <w:tcW w:w="1802" w:type="dxa"/>
            <w:vMerge w:val="restart"/>
            <w:tcBorders>
              <w:top w:val="single" w:sz="4" w:space="0" w:color="auto"/>
              <w:bottom w:val="single" w:sz="4" w:space="0" w:color="auto"/>
              <w:right w:val="nil"/>
            </w:tcBorders>
          </w:tcPr>
          <w:p w:rsidR="00ED7FB4" w:rsidRPr="00ED7FB4" w:rsidRDefault="00ED7FB4" w:rsidP="00ED7FB4">
            <w:pPr>
              <w:autoSpaceDE w:val="0"/>
              <w:autoSpaceDN w:val="0"/>
              <w:adjustRightInd w:val="0"/>
              <w:spacing w:before="40" w:after="100" w:line="191" w:lineRule="atLeast"/>
              <w:rPr>
                <w:rFonts w:ascii="Arial" w:hAnsi="Arial" w:cs="Arial"/>
                <w:color w:val="000000"/>
                <w:sz w:val="20"/>
                <w:szCs w:val="20"/>
              </w:rPr>
            </w:pPr>
            <w:r w:rsidRPr="00ED7FB4">
              <w:rPr>
                <w:rFonts w:ascii="Arial" w:hAnsi="Arial" w:cs="Arial"/>
                <w:color w:val="000000"/>
                <w:sz w:val="20"/>
                <w:szCs w:val="20"/>
              </w:rPr>
              <w:t xml:space="preserve">Average Cost per Elector of Conducting State General Elections (or By-elections) or Referenda Events </w:t>
            </w:r>
          </w:p>
        </w:tc>
        <w:tc>
          <w:tcPr>
            <w:tcW w:w="1277" w:type="dxa"/>
            <w:tcBorders>
              <w:top w:val="single" w:sz="4" w:space="0" w:color="auto"/>
              <w:left w:val="nil"/>
              <w:bottom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rPr>
                <w:rFonts w:ascii="Arial" w:hAnsi="Arial" w:cs="Arial"/>
                <w:color w:val="000000"/>
                <w:sz w:val="20"/>
                <w:szCs w:val="20"/>
              </w:rPr>
            </w:pPr>
            <w:r w:rsidRPr="00ED7FB4">
              <w:rPr>
                <w:rFonts w:ascii="Arial" w:hAnsi="Arial" w:cs="Arial"/>
                <w:color w:val="000000"/>
                <w:sz w:val="20"/>
                <w:szCs w:val="20"/>
              </w:rPr>
              <w:t xml:space="preserve">State Election </w:t>
            </w:r>
          </w:p>
        </w:tc>
        <w:tc>
          <w:tcPr>
            <w:tcW w:w="994"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$0.10</w:t>
            </w:r>
          </w:p>
        </w:tc>
        <w:tc>
          <w:tcPr>
            <w:tcW w:w="1241"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$11.90</w:t>
            </w:r>
          </w:p>
        </w:tc>
        <w:tc>
          <w:tcPr>
            <w:tcW w:w="1237"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$0.67</w:t>
            </w:r>
          </w:p>
        </w:tc>
        <w:tc>
          <w:tcPr>
            <w:tcW w:w="1237" w:type="dxa"/>
            <w:gridSpan w:val="3"/>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237" w:type="dxa"/>
            <w:gridSpan w:val="2"/>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289" w:type="dxa"/>
            <w:tcBorders>
              <w:top w:val="single" w:sz="4" w:space="0" w:color="auto"/>
              <w:left w:val="single" w:sz="4" w:space="0" w:color="auto"/>
              <w:bottom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r w:rsidRPr="00AA3B88">
              <w:rPr>
                <w:rFonts w:ascii="Arial" w:hAnsi="Arial" w:cs="Arial"/>
                <w:color w:val="000000"/>
                <w:sz w:val="20"/>
                <w:szCs w:val="20"/>
              </w:rPr>
              <w:t>(b)</w:t>
            </w:r>
          </w:p>
        </w:tc>
      </w:tr>
      <w:tr w:rsidR="0042304B" w:rsidRPr="00AA3B88" w:rsidTr="002C0B6D">
        <w:trPr>
          <w:gridAfter w:val="1"/>
          <w:wAfter w:w="8" w:type="dxa"/>
          <w:trHeight w:val="126"/>
        </w:trPr>
        <w:tc>
          <w:tcPr>
            <w:tcW w:w="1802" w:type="dxa"/>
            <w:vMerge/>
            <w:tcBorders>
              <w:top w:val="single" w:sz="4" w:space="0" w:color="auto"/>
              <w:bottom w:val="single" w:sz="4" w:space="0" w:color="auto"/>
              <w:right w:val="nil"/>
            </w:tcBorders>
          </w:tcPr>
          <w:p w:rsidR="00ED7FB4" w:rsidRPr="00ED7FB4" w:rsidRDefault="00ED7FB4" w:rsidP="00ED7FB4">
            <w:pPr>
              <w:autoSpaceDE w:val="0"/>
              <w:autoSpaceDN w:val="0"/>
              <w:adjustRightInd w:val="0"/>
              <w:spacing w:after="0" w:line="240" w:lineRule="auto"/>
              <w:rPr>
                <w:rFonts w:ascii="Arial" w:hAnsi="Arial" w:cs="Arial"/>
                <w:sz w:val="20"/>
                <w:szCs w:val="20"/>
              </w:rPr>
            </w:pPr>
          </w:p>
        </w:tc>
        <w:tc>
          <w:tcPr>
            <w:tcW w:w="1277" w:type="dxa"/>
            <w:tcBorders>
              <w:top w:val="single" w:sz="4" w:space="0" w:color="auto"/>
              <w:left w:val="nil"/>
              <w:bottom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rPr>
                <w:rFonts w:ascii="Arial" w:hAnsi="Arial" w:cs="Arial"/>
                <w:color w:val="000000"/>
                <w:sz w:val="20"/>
                <w:szCs w:val="20"/>
              </w:rPr>
            </w:pPr>
            <w:r w:rsidRPr="00ED7FB4">
              <w:rPr>
                <w:rFonts w:ascii="Arial" w:hAnsi="Arial" w:cs="Arial"/>
                <w:color w:val="000000"/>
                <w:sz w:val="20"/>
                <w:szCs w:val="20"/>
              </w:rPr>
              <w:t xml:space="preserve">By-election </w:t>
            </w:r>
          </w:p>
        </w:tc>
        <w:tc>
          <w:tcPr>
            <w:tcW w:w="994"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241"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218"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$13.23</w:t>
            </w:r>
          </w:p>
        </w:tc>
        <w:tc>
          <w:tcPr>
            <w:tcW w:w="1246" w:type="dxa"/>
            <w:gridSpan w:val="3"/>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570" w:type="dxa"/>
            <w:gridSpan w:val="2"/>
            <w:tcBorders>
              <w:top w:val="single" w:sz="4" w:space="0" w:color="auto"/>
              <w:left w:val="single" w:sz="4" w:space="0" w:color="auto"/>
              <w:bottom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13.23</w:t>
            </w:r>
            <w:r w:rsidRPr="00AA3B88">
              <w:rPr>
                <w:rFonts w:ascii="Arial" w:hAnsi="Arial" w:cs="Arial"/>
                <w:color w:val="000000"/>
                <w:sz w:val="20"/>
                <w:szCs w:val="20"/>
              </w:rPr>
              <w:t>(c)</w:t>
            </w:r>
          </w:p>
        </w:tc>
      </w:tr>
      <w:tr w:rsidR="0042304B" w:rsidRPr="00AA3B88" w:rsidTr="002C0B6D">
        <w:trPr>
          <w:gridAfter w:val="1"/>
          <w:wAfter w:w="8" w:type="dxa"/>
          <w:trHeight w:val="126"/>
        </w:trPr>
        <w:tc>
          <w:tcPr>
            <w:tcW w:w="1802" w:type="dxa"/>
            <w:vMerge/>
            <w:tcBorders>
              <w:top w:val="single" w:sz="4" w:space="0" w:color="auto"/>
              <w:bottom w:val="single" w:sz="4" w:space="0" w:color="auto"/>
              <w:right w:val="nil"/>
            </w:tcBorders>
          </w:tcPr>
          <w:p w:rsidR="00ED7FB4" w:rsidRPr="00ED7FB4" w:rsidRDefault="00ED7FB4" w:rsidP="00ED7FB4">
            <w:pPr>
              <w:autoSpaceDE w:val="0"/>
              <w:autoSpaceDN w:val="0"/>
              <w:adjustRightInd w:val="0"/>
              <w:spacing w:after="0" w:line="240" w:lineRule="auto"/>
              <w:rPr>
                <w:rFonts w:ascii="Arial" w:hAnsi="Arial" w:cs="Arial"/>
                <w:sz w:val="20"/>
                <w:szCs w:val="20"/>
              </w:rPr>
            </w:pPr>
          </w:p>
        </w:tc>
        <w:tc>
          <w:tcPr>
            <w:tcW w:w="1277" w:type="dxa"/>
            <w:tcBorders>
              <w:top w:val="single" w:sz="4" w:space="0" w:color="auto"/>
              <w:left w:val="nil"/>
              <w:bottom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rPr>
                <w:rFonts w:ascii="Arial" w:hAnsi="Arial" w:cs="Arial"/>
                <w:color w:val="000000"/>
                <w:sz w:val="20"/>
                <w:szCs w:val="20"/>
              </w:rPr>
            </w:pPr>
            <w:r w:rsidRPr="00ED7FB4">
              <w:rPr>
                <w:rFonts w:ascii="Arial" w:hAnsi="Arial" w:cs="Arial"/>
                <w:color w:val="000000"/>
                <w:sz w:val="20"/>
                <w:szCs w:val="20"/>
              </w:rPr>
              <w:t xml:space="preserve">Referenda </w:t>
            </w:r>
          </w:p>
        </w:tc>
        <w:tc>
          <w:tcPr>
            <w:tcW w:w="994"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241"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247" w:type="dxa"/>
            <w:gridSpan w:val="2"/>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218" w:type="dxa"/>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246" w:type="dxa"/>
            <w:gridSpan w:val="3"/>
            <w:tcBorders>
              <w:top w:val="single" w:sz="4" w:space="0" w:color="auto"/>
              <w:left w:val="single" w:sz="4" w:space="0" w:color="auto"/>
              <w:bottom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p>
        </w:tc>
        <w:tc>
          <w:tcPr>
            <w:tcW w:w="1570" w:type="dxa"/>
            <w:gridSpan w:val="2"/>
            <w:tcBorders>
              <w:top w:val="single" w:sz="4" w:space="0" w:color="auto"/>
              <w:left w:val="single" w:sz="4" w:space="0" w:color="auto"/>
              <w:bottom w:val="single" w:sz="4" w:space="0" w:color="auto"/>
            </w:tcBorders>
            <w:vAlign w:val="center"/>
          </w:tcPr>
          <w:p w:rsidR="00ED7FB4" w:rsidRPr="00ED7FB4" w:rsidRDefault="00ED7FB4" w:rsidP="002C0B6D">
            <w:pPr>
              <w:autoSpaceDE w:val="0"/>
              <w:autoSpaceDN w:val="0"/>
              <w:adjustRightInd w:val="0"/>
              <w:spacing w:before="40" w:after="100" w:line="191" w:lineRule="atLeast"/>
              <w:jc w:val="center"/>
              <w:rPr>
                <w:rFonts w:ascii="Arial" w:hAnsi="Arial" w:cs="Arial"/>
                <w:color w:val="000000"/>
                <w:sz w:val="20"/>
                <w:szCs w:val="20"/>
              </w:rPr>
            </w:pPr>
            <w:r w:rsidRPr="00ED7FB4">
              <w:rPr>
                <w:rFonts w:ascii="Arial" w:hAnsi="Arial" w:cs="Arial"/>
                <w:color w:val="000000"/>
                <w:sz w:val="20"/>
                <w:szCs w:val="20"/>
              </w:rPr>
              <w:t>n/a</w:t>
            </w:r>
            <w:r w:rsidRPr="00AA3B88">
              <w:rPr>
                <w:rFonts w:ascii="Arial" w:hAnsi="Arial" w:cs="Arial"/>
                <w:color w:val="000000"/>
                <w:sz w:val="20"/>
                <w:szCs w:val="20"/>
              </w:rPr>
              <w:t>(b)</w:t>
            </w:r>
          </w:p>
        </w:tc>
      </w:tr>
      <w:tr w:rsidR="0042304B" w:rsidRPr="00ED7FB4" w:rsidTr="002C0B6D">
        <w:trPr>
          <w:trHeight w:val="616"/>
        </w:trPr>
        <w:tc>
          <w:tcPr>
            <w:tcW w:w="3079" w:type="dxa"/>
            <w:gridSpan w:val="2"/>
            <w:tcBorders>
              <w:top w:val="single" w:sz="4" w:space="0" w:color="auto"/>
              <w:right w:val="single" w:sz="4" w:space="0" w:color="auto"/>
            </w:tcBorders>
          </w:tcPr>
          <w:p w:rsidR="00ED7FB4" w:rsidRPr="00ED7FB4" w:rsidRDefault="00ED7FB4" w:rsidP="00ED7FB4">
            <w:pPr>
              <w:autoSpaceDE w:val="0"/>
              <w:autoSpaceDN w:val="0"/>
              <w:adjustRightInd w:val="0"/>
              <w:spacing w:before="40" w:after="100" w:line="191" w:lineRule="atLeast"/>
              <w:ind w:right="176"/>
              <w:rPr>
                <w:rFonts w:ascii="Arial" w:hAnsi="Arial" w:cs="Arial"/>
                <w:color w:val="000000"/>
                <w:sz w:val="20"/>
                <w:szCs w:val="20"/>
              </w:rPr>
            </w:pPr>
            <w:r w:rsidRPr="00ED7FB4">
              <w:rPr>
                <w:rFonts w:ascii="Arial" w:hAnsi="Arial" w:cs="Arial"/>
                <w:color w:val="000000"/>
                <w:sz w:val="20"/>
                <w:szCs w:val="20"/>
              </w:rPr>
              <w:t xml:space="preserve">Average Cost per Elector of Conducting Local Government Ordinary (or/and Extraordinary) Elections Conducted by the Commission </w:t>
            </w:r>
          </w:p>
        </w:tc>
        <w:tc>
          <w:tcPr>
            <w:tcW w:w="994" w:type="dxa"/>
            <w:tcBorders>
              <w:top w:val="single" w:sz="4" w:space="0" w:color="auto"/>
              <w:left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ind w:left="-42"/>
              <w:jc w:val="center"/>
              <w:rPr>
                <w:rFonts w:ascii="Arial" w:hAnsi="Arial" w:cs="Arial"/>
                <w:color w:val="000000"/>
                <w:sz w:val="20"/>
                <w:szCs w:val="20"/>
              </w:rPr>
            </w:pPr>
            <w:r w:rsidRPr="00ED7FB4">
              <w:rPr>
                <w:rFonts w:ascii="Arial" w:hAnsi="Arial" w:cs="Arial"/>
                <w:color w:val="000000"/>
                <w:sz w:val="20"/>
                <w:szCs w:val="20"/>
              </w:rPr>
              <w:t>$1.82</w:t>
            </w:r>
          </w:p>
        </w:tc>
        <w:tc>
          <w:tcPr>
            <w:tcW w:w="1241" w:type="dxa"/>
            <w:tcBorders>
              <w:top w:val="single" w:sz="4" w:space="0" w:color="auto"/>
              <w:left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ind w:left="-245"/>
              <w:jc w:val="center"/>
              <w:rPr>
                <w:rFonts w:ascii="Arial" w:hAnsi="Arial" w:cs="Arial"/>
                <w:color w:val="000000"/>
                <w:sz w:val="20"/>
                <w:szCs w:val="20"/>
              </w:rPr>
            </w:pPr>
            <w:r w:rsidRPr="00ED7FB4">
              <w:rPr>
                <w:rFonts w:ascii="Arial" w:hAnsi="Arial" w:cs="Arial"/>
                <w:color w:val="000000"/>
                <w:sz w:val="20"/>
                <w:szCs w:val="20"/>
              </w:rPr>
              <w:t>$1.56</w:t>
            </w:r>
          </w:p>
        </w:tc>
        <w:tc>
          <w:tcPr>
            <w:tcW w:w="1247" w:type="dxa"/>
            <w:gridSpan w:val="2"/>
            <w:tcBorders>
              <w:top w:val="single" w:sz="4" w:space="0" w:color="auto"/>
              <w:left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ind w:left="-211"/>
              <w:jc w:val="center"/>
              <w:rPr>
                <w:rFonts w:ascii="Arial" w:hAnsi="Arial" w:cs="Arial"/>
                <w:color w:val="000000"/>
                <w:sz w:val="20"/>
                <w:szCs w:val="20"/>
              </w:rPr>
            </w:pPr>
            <w:r w:rsidRPr="00ED7FB4">
              <w:rPr>
                <w:rFonts w:ascii="Arial" w:hAnsi="Arial" w:cs="Arial"/>
                <w:color w:val="000000"/>
                <w:sz w:val="20"/>
                <w:szCs w:val="20"/>
              </w:rPr>
              <w:t>$2.63</w:t>
            </w:r>
          </w:p>
        </w:tc>
        <w:tc>
          <w:tcPr>
            <w:tcW w:w="1218" w:type="dxa"/>
            <w:tcBorders>
              <w:top w:val="single" w:sz="4" w:space="0" w:color="auto"/>
              <w:left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ind w:left="-211"/>
              <w:jc w:val="center"/>
              <w:rPr>
                <w:rFonts w:ascii="Arial" w:hAnsi="Arial" w:cs="Arial"/>
                <w:color w:val="000000"/>
                <w:sz w:val="20"/>
                <w:szCs w:val="20"/>
              </w:rPr>
            </w:pPr>
            <w:r w:rsidRPr="00ED7FB4">
              <w:rPr>
                <w:rFonts w:ascii="Arial" w:hAnsi="Arial" w:cs="Arial"/>
                <w:color w:val="000000"/>
                <w:sz w:val="20"/>
                <w:szCs w:val="20"/>
              </w:rPr>
              <w:t>$1.89</w:t>
            </w:r>
          </w:p>
        </w:tc>
        <w:tc>
          <w:tcPr>
            <w:tcW w:w="1232" w:type="dxa"/>
            <w:gridSpan w:val="2"/>
            <w:tcBorders>
              <w:top w:val="single" w:sz="4" w:space="0" w:color="auto"/>
              <w:left w:val="single" w:sz="4" w:space="0" w:color="auto"/>
              <w:right w:val="single" w:sz="4" w:space="0" w:color="auto"/>
            </w:tcBorders>
            <w:vAlign w:val="center"/>
          </w:tcPr>
          <w:p w:rsidR="00ED7FB4" w:rsidRPr="00ED7FB4" w:rsidRDefault="00ED7FB4" w:rsidP="002C0B6D">
            <w:pPr>
              <w:autoSpaceDE w:val="0"/>
              <w:autoSpaceDN w:val="0"/>
              <w:adjustRightInd w:val="0"/>
              <w:spacing w:before="40" w:after="100" w:line="191" w:lineRule="atLeast"/>
              <w:ind w:left="-211"/>
              <w:jc w:val="center"/>
              <w:rPr>
                <w:rFonts w:ascii="Arial" w:hAnsi="Arial" w:cs="Arial"/>
                <w:color w:val="000000"/>
                <w:sz w:val="20"/>
                <w:szCs w:val="20"/>
              </w:rPr>
            </w:pPr>
            <w:r w:rsidRPr="00ED7FB4">
              <w:rPr>
                <w:rFonts w:ascii="Arial" w:hAnsi="Arial" w:cs="Arial"/>
                <w:color w:val="000000"/>
                <w:sz w:val="20"/>
                <w:szCs w:val="20"/>
              </w:rPr>
              <w:t>n/a</w:t>
            </w:r>
          </w:p>
        </w:tc>
        <w:tc>
          <w:tcPr>
            <w:tcW w:w="1592" w:type="dxa"/>
            <w:gridSpan w:val="4"/>
            <w:tcBorders>
              <w:top w:val="single" w:sz="4" w:space="0" w:color="auto"/>
              <w:left w:val="single" w:sz="4" w:space="0" w:color="auto"/>
            </w:tcBorders>
            <w:vAlign w:val="center"/>
          </w:tcPr>
          <w:p w:rsidR="00ED7FB4" w:rsidRPr="00ED7FB4" w:rsidRDefault="00ED7FB4" w:rsidP="002C0B6D">
            <w:pPr>
              <w:autoSpaceDE w:val="0"/>
              <w:autoSpaceDN w:val="0"/>
              <w:adjustRightInd w:val="0"/>
              <w:spacing w:before="40" w:after="100" w:line="191" w:lineRule="atLeast"/>
              <w:ind w:left="-211"/>
              <w:jc w:val="center"/>
              <w:rPr>
                <w:rFonts w:ascii="Arial" w:hAnsi="Arial" w:cs="Arial"/>
                <w:color w:val="000000"/>
                <w:sz w:val="20"/>
                <w:szCs w:val="20"/>
              </w:rPr>
            </w:pPr>
            <w:r w:rsidRPr="00ED7FB4">
              <w:rPr>
                <w:rFonts w:ascii="Arial" w:hAnsi="Arial" w:cs="Arial"/>
                <w:color w:val="000000"/>
                <w:sz w:val="20"/>
                <w:szCs w:val="20"/>
              </w:rPr>
              <w:t>$1.89</w:t>
            </w:r>
            <w:r w:rsidRPr="00AA3B88">
              <w:rPr>
                <w:rFonts w:ascii="Arial" w:hAnsi="Arial" w:cs="Arial"/>
                <w:color w:val="000000"/>
                <w:sz w:val="20"/>
                <w:szCs w:val="20"/>
              </w:rPr>
              <w:t>(</w:t>
            </w:r>
          </w:p>
        </w:tc>
      </w:tr>
    </w:tbl>
    <w:p w:rsidR="00ED7FB4" w:rsidRPr="00AA3B88" w:rsidRDefault="00ED7FB4" w:rsidP="00271B0D">
      <w:pPr>
        <w:pStyle w:val="Pa16"/>
        <w:tabs>
          <w:tab w:val="left" w:pos="709"/>
        </w:tabs>
        <w:spacing w:before="40" w:after="40"/>
        <w:ind w:left="1418" w:hanging="1418"/>
        <w:rPr>
          <w:color w:val="000000"/>
          <w:sz w:val="18"/>
          <w:szCs w:val="18"/>
        </w:rPr>
      </w:pPr>
      <w:r w:rsidRPr="00AA3B88">
        <w:rPr>
          <w:color w:val="000000"/>
          <w:sz w:val="18"/>
          <w:szCs w:val="18"/>
        </w:rPr>
        <w:t>Note:</w:t>
      </w:r>
      <w:r w:rsidRPr="00AA3B88">
        <w:rPr>
          <w:color w:val="000000"/>
          <w:sz w:val="18"/>
          <w:szCs w:val="18"/>
        </w:rPr>
        <w:tab/>
        <w:t xml:space="preserve">(a) </w:t>
      </w:r>
      <w:r w:rsidRPr="00AA3B88">
        <w:rPr>
          <w:color w:val="000000"/>
          <w:sz w:val="18"/>
          <w:szCs w:val="18"/>
        </w:rPr>
        <w:tab/>
        <w:t xml:space="preserve">The indicator provides a direct link to the budget estimates which reflects on the fixed cost of maintaining readiness for a state election and providing for any local government elections or other extra-ordinary elections. The higher cost as compared to the target and prior year figures was the result of the state government by-election. </w:t>
      </w:r>
    </w:p>
    <w:p w:rsidR="00ED7FB4" w:rsidRPr="00AA3B88" w:rsidRDefault="00ED7FB4" w:rsidP="00271B0D">
      <w:pPr>
        <w:pStyle w:val="Pa16"/>
        <w:tabs>
          <w:tab w:val="left" w:pos="709"/>
        </w:tabs>
        <w:spacing w:before="40" w:after="40"/>
        <w:ind w:left="1418" w:hanging="1418"/>
        <w:rPr>
          <w:color w:val="000000"/>
          <w:sz w:val="18"/>
          <w:szCs w:val="18"/>
        </w:rPr>
      </w:pPr>
      <w:r w:rsidRPr="00AA3B88">
        <w:rPr>
          <w:color w:val="000000"/>
          <w:sz w:val="18"/>
          <w:szCs w:val="18"/>
        </w:rPr>
        <w:tab/>
        <w:t>(b)</w:t>
      </w:r>
      <w:r w:rsidRPr="00AA3B88">
        <w:rPr>
          <w:color w:val="000000"/>
          <w:sz w:val="18"/>
          <w:szCs w:val="18"/>
        </w:rPr>
        <w:tab/>
        <w:t xml:space="preserve">There were no State General Elections or Referenda conducted in the 2014-15 Financial Year. </w:t>
      </w:r>
    </w:p>
    <w:p w:rsidR="00ED7FB4" w:rsidRPr="00AA3B88" w:rsidRDefault="00ED7FB4" w:rsidP="00271B0D">
      <w:pPr>
        <w:pStyle w:val="Pa16"/>
        <w:tabs>
          <w:tab w:val="left" w:pos="709"/>
        </w:tabs>
        <w:spacing w:before="40" w:after="40"/>
        <w:ind w:left="1418" w:hanging="1418"/>
        <w:rPr>
          <w:color w:val="000000"/>
          <w:sz w:val="18"/>
          <w:szCs w:val="18"/>
        </w:rPr>
      </w:pPr>
      <w:r w:rsidRPr="00AA3B88">
        <w:rPr>
          <w:color w:val="000000"/>
          <w:sz w:val="18"/>
          <w:szCs w:val="18"/>
        </w:rPr>
        <w:tab/>
        <w:t xml:space="preserve">(c) </w:t>
      </w:r>
      <w:r w:rsidRPr="00AA3B88">
        <w:rPr>
          <w:color w:val="000000"/>
          <w:sz w:val="18"/>
          <w:szCs w:val="18"/>
        </w:rPr>
        <w:tab/>
        <w:t xml:space="preserve">The indicator reflects actual expenditure incurred while conducting the State Government by-election of Vasse. The higher cost as compared to a State General Election is the result of not achieving economies of scale by having to establish </w:t>
      </w:r>
      <w:proofErr w:type="gramStart"/>
      <w:r w:rsidRPr="00AA3B88">
        <w:rPr>
          <w:color w:val="000000"/>
          <w:sz w:val="18"/>
          <w:szCs w:val="18"/>
        </w:rPr>
        <w:t>a comprehensive election arrangements</w:t>
      </w:r>
      <w:proofErr w:type="gramEnd"/>
      <w:r w:rsidRPr="00AA3B88">
        <w:rPr>
          <w:color w:val="000000"/>
          <w:sz w:val="18"/>
          <w:szCs w:val="18"/>
        </w:rPr>
        <w:t xml:space="preserve"> for only 24,739 electors. </w:t>
      </w:r>
    </w:p>
    <w:p w:rsidR="00ED7FB4" w:rsidRDefault="00ED7FB4" w:rsidP="00271B0D">
      <w:pPr>
        <w:pStyle w:val="BodyCopy"/>
        <w:tabs>
          <w:tab w:val="left" w:pos="709"/>
        </w:tabs>
        <w:spacing w:before="40" w:after="40" w:line="160" w:lineRule="atLeast"/>
        <w:ind w:left="1418" w:hanging="1418"/>
        <w:rPr>
          <w:color w:val="000000"/>
          <w:sz w:val="18"/>
          <w:szCs w:val="18"/>
        </w:rPr>
      </w:pPr>
      <w:r w:rsidRPr="00AA3B88">
        <w:rPr>
          <w:color w:val="000000"/>
          <w:sz w:val="18"/>
          <w:szCs w:val="18"/>
        </w:rPr>
        <w:tab/>
        <w:t>(d)</w:t>
      </w:r>
      <w:r w:rsidRPr="00AA3B88">
        <w:rPr>
          <w:color w:val="000000"/>
          <w:sz w:val="18"/>
          <w:szCs w:val="18"/>
        </w:rPr>
        <w:tab/>
        <w:t>The indicator reflects the actual expenditure incurred while conducting Local Government extra-ordinary election and Referenda election. In comparison with the prior year ordinary election, the lower cost was the result of lower overheads and postal expenditure.</w:t>
      </w:r>
    </w:p>
    <w:p w:rsidR="0009212F" w:rsidRDefault="0009212F" w:rsidP="002C0B6D">
      <w:pPr>
        <w:pStyle w:val="BodyCopy"/>
        <w:tabs>
          <w:tab w:val="left" w:pos="709"/>
        </w:tabs>
        <w:spacing w:before="40" w:after="40" w:line="160" w:lineRule="atLeast"/>
        <w:ind w:left="1418" w:hanging="1418"/>
        <w:rPr>
          <w:color w:val="404040" w:themeColor="text1" w:themeTint="BF"/>
          <w:sz w:val="18"/>
          <w:szCs w:val="18"/>
        </w:rPr>
        <w:sectPr w:rsidR="0009212F" w:rsidSect="00B149BC">
          <w:pgSz w:w="11906" w:h="16838"/>
          <w:pgMar w:top="720" w:right="566" w:bottom="720" w:left="720" w:header="720" w:footer="720" w:gutter="0"/>
          <w:cols w:space="720"/>
          <w:noEndnote/>
        </w:sectPr>
      </w:pPr>
    </w:p>
    <w:tbl>
      <w:tblPr>
        <w:tblpPr w:leftFromText="180" w:rightFromText="180" w:vertAnchor="page" w:horzAnchor="margin" w:tblpX="250" w:tblpY="1521"/>
        <w:tblW w:w="9888" w:type="dxa"/>
        <w:tblLook w:val="04A0" w:firstRow="1" w:lastRow="0" w:firstColumn="1" w:lastColumn="0" w:noHBand="0" w:noVBand="1"/>
      </w:tblPr>
      <w:tblGrid>
        <w:gridCol w:w="5920"/>
        <w:gridCol w:w="896"/>
        <w:gridCol w:w="1536"/>
        <w:gridCol w:w="1536"/>
      </w:tblGrid>
      <w:tr w:rsidR="0009212F" w:rsidRPr="0009212F" w:rsidTr="0009212F">
        <w:trPr>
          <w:trHeight w:val="255"/>
        </w:trPr>
        <w:tc>
          <w:tcPr>
            <w:tcW w:w="9888" w:type="dxa"/>
            <w:gridSpan w:val="4"/>
            <w:tcBorders>
              <w:top w:val="nil"/>
              <w:left w:val="nil"/>
              <w:bottom w:val="nil"/>
              <w:right w:val="nil"/>
            </w:tcBorders>
            <w:shd w:val="clear" w:color="auto" w:fill="auto"/>
            <w:noWrap/>
            <w:vAlign w:val="bottom"/>
            <w:hideMark/>
          </w:tcPr>
          <w:p w:rsidR="0009212F" w:rsidRPr="0009212F" w:rsidRDefault="0009212F" w:rsidP="005049C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09212F" w:rsidRPr="0009212F" w:rsidTr="0009212F">
        <w:trPr>
          <w:trHeight w:val="315"/>
        </w:trPr>
        <w:tc>
          <w:tcPr>
            <w:tcW w:w="9888"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Statement of Financial Position</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As at 30 June 2015</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34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Note</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2015</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27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33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ASSETS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33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Current Assets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Cash and cash equivalents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24.</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457</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592</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Restricted cash and cash equivalents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14.</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151</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 </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Receivables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15.</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168</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309</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Amounts receivable for services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16.</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117</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117</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Current Assets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893</w:t>
            </w:r>
          </w:p>
        </w:tc>
        <w:tc>
          <w:tcPr>
            <w:tcW w:w="15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1,018</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Non-Current Assets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Restricted cash and cash equivalents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14,24</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 </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126</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Amounts receivable for services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16.</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491</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558</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Plant and equipment</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17.</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173</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199</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Intangible assets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18.</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1,906</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2,014</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Non-Current Assets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2,570</w:t>
            </w:r>
          </w:p>
        </w:tc>
        <w:tc>
          <w:tcPr>
            <w:tcW w:w="15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2,897</w:t>
            </w:r>
          </w:p>
        </w:tc>
      </w:tr>
      <w:tr w:rsidR="0009212F" w:rsidRPr="0009212F" w:rsidTr="0009212F">
        <w:trPr>
          <w:trHeight w:val="27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ASSETS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3,463</w:t>
            </w:r>
          </w:p>
        </w:tc>
        <w:tc>
          <w:tcPr>
            <w:tcW w:w="153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3,915</w:t>
            </w:r>
          </w:p>
        </w:tc>
      </w:tr>
      <w:tr w:rsidR="0009212F" w:rsidRPr="0009212F" w:rsidTr="0009212F">
        <w:trPr>
          <w:trHeight w:val="27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LIABILITIES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Current Liabilities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Payables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20.</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479</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252</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Provisions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21.</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814</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804</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 liabilities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22.</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 </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Current Liabilities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1,298</w:t>
            </w:r>
          </w:p>
        </w:tc>
        <w:tc>
          <w:tcPr>
            <w:tcW w:w="15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1,056</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Non-Current Liabilities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Provisions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21.</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110</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161</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Non-Current Liabilities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110</w:t>
            </w:r>
          </w:p>
        </w:tc>
        <w:tc>
          <w:tcPr>
            <w:tcW w:w="15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161</w:t>
            </w:r>
          </w:p>
        </w:tc>
      </w:tr>
      <w:tr w:rsidR="0009212F" w:rsidRPr="0009212F" w:rsidTr="0009212F">
        <w:trPr>
          <w:trHeight w:val="27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LIABILITIES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1,408</w:t>
            </w:r>
          </w:p>
        </w:tc>
        <w:tc>
          <w:tcPr>
            <w:tcW w:w="153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1,217</w:t>
            </w:r>
          </w:p>
        </w:tc>
      </w:tr>
      <w:tr w:rsidR="0009212F" w:rsidRPr="0009212F" w:rsidTr="0009212F">
        <w:trPr>
          <w:trHeight w:val="27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7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NET ASSETS</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2,055</w:t>
            </w:r>
          </w:p>
        </w:tc>
        <w:tc>
          <w:tcPr>
            <w:tcW w:w="1536"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2,698</w:t>
            </w:r>
          </w:p>
        </w:tc>
      </w:tr>
      <w:tr w:rsidR="0009212F" w:rsidRPr="0009212F" w:rsidTr="0009212F">
        <w:trPr>
          <w:trHeight w:val="27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EQUITY</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Contributed equity</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23.</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1,026</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1,026</w:t>
            </w: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Accumulated surplus/(deficit)</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1,029</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1,672</w:t>
            </w:r>
          </w:p>
        </w:tc>
      </w:tr>
      <w:tr w:rsidR="0009212F" w:rsidRPr="0009212F" w:rsidTr="0009212F">
        <w:trPr>
          <w:trHeight w:val="27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EQUITY</w:t>
            </w: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2,055</w:t>
            </w:r>
          </w:p>
        </w:tc>
        <w:tc>
          <w:tcPr>
            <w:tcW w:w="1536"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2,698</w:t>
            </w:r>
          </w:p>
        </w:tc>
      </w:tr>
      <w:tr w:rsidR="0009212F" w:rsidRPr="0009212F" w:rsidTr="0009212F">
        <w:trPr>
          <w:trHeight w:val="270"/>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8352"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Statement of Financial Position should be read in conjunction with the accompanying notes.</w:t>
            </w: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59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bl>
    <w:tbl>
      <w:tblPr>
        <w:tblW w:w="10067" w:type="dxa"/>
        <w:tblInd w:w="392" w:type="dxa"/>
        <w:tblLook w:val="04A0" w:firstRow="1" w:lastRow="0" w:firstColumn="1" w:lastColumn="0" w:noHBand="0" w:noVBand="1"/>
      </w:tblPr>
      <w:tblGrid>
        <w:gridCol w:w="6379"/>
        <w:gridCol w:w="816"/>
        <w:gridCol w:w="1436"/>
        <w:gridCol w:w="1436"/>
      </w:tblGrid>
      <w:tr w:rsidR="0009212F" w:rsidRPr="0009212F" w:rsidTr="0009212F">
        <w:trPr>
          <w:trHeight w:val="255"/>
        </w:trPr>
        <w:tc>
          <w:tcPr>
            <w:tcW w:w="1006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Western Australian Electoral Commission - 30 June 2015</w:t>
            </w:r>
          </w:p>
        </w:tc>
      </w:tr>
      <w:tr w:rsidR="005049C0" w:rsidRPr="0009212F" w:rsidTr="00B40057">
        <w:trPr>
          <w:trHeight w:val="315"/>
        </w:trPr>
        <w:tc>
          <w:tcPr>
            <w:tcW w:w="10067" w:type="dxa"/>
            <w:gridSpan w:val="4"/>
            <w:tcBorders>
              <w:top w:val="nil"/>
              <w:left w:val="nil"/>
              <w:bottom w:val="nil"/>
              <w:right w:val="nil"/>
            </w:tcBorders>
            <w:shd w:val="clear" w:color="auto" w:fill="auto"/>
            <w:noWrap/>
            <w:vAlign w:val="bottom"/>
          </w:tcPr>
          <w:p w:rsidR="008F0B8B" w:rsidRDefault="008F0B8B" w:rsidP="005049C0">
            <w:pPr>
              <w:pStyle w:val="BodyCopy"/>
              <w:tabs>
                <w:tab w:val="left" w:pos="709"/>
              </w:tabs>
              <w:spacing w:before="40" w:after="40" w:line="160" w:lineRule="atLeast"/>
              <w:ind w:left="1418" w:hanging="1418"/>
              <w:jc w:val="right"/>
              <w:rPr>
                <w:b/>
                <w:bCs/>
                <w:color w:val="404040" w:themeColor="text1" w:themeTint="BF"/>
                <w:sz w:val="18"/>
                <w:szCs w:val="18"/>
                <w:lang w:val="en-AU"/>
              </w:rPr>
            </w:pPr>
          </w:p>
          <w:p w:rsidR="005049C0" w:rsidRPr="0009212F" w:rsidRDefault="005049C0" w:rsidP="005049C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09212F" w:rsidRPr="0009212F" w:rsidTr="0009212F">
        <w:trPr>
          <w:trHeight w:val="31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lastRenderedPageBreak/>
              <w:t>Statement of Comprehensive Income</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For the year ended 30 June 2015</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Note</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2015</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trHeight w:val="360"/>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COST OF SERVICES</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Expenses</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Employee benefits expense</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5,024</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5,714</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Supplies and services</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7.</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2,932</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4,239</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Depreciation and amortisation expense</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8.</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234</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198</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Accommodation expenses</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9.</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1,810</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1,720</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Grants and subsidies</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33</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 expenses</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46</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43</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Total cost of services </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10,079</w:t>
            </w:r>
          </w:p>
        </w:tc>
        <w:tc>
          <w:tcPr>
            <w:tcW w:w="14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11,925</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Income</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Revenue</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 revenue</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12.</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635</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4,045</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Revenue</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635</w:t>
            </w:r>
          </w:p>
        </w:tc>
        <w:tc>
          <w:tcPr>
            <w:tcW w:w="14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4,045</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income other than income from State Government</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635</w:t>
            </w:r>
          </w:p>
        </w:tc>
        <w:tc>
          <w:tcPr>
            <w:tcW w:w="143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4,045</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NET COST OF SERVICES</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9,444</w:t>
            </w:r>
          </w:p>
        </w:tc>
        <w:tc>
          <w:tcPr>
            <w:tcW w:w="143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7,880</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Income from State Government</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Service appropriation</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13.</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8,715</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7,377</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Services received free of charge</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13.</w:t>
            </w:r>
          </w:p>
        </w:tc>
        <w:tc>
          <w:tcPr>
            <w:tcW w:w="143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86 </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59</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income from State Government</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8,801</w:t>
            </w:r>
          </w:p>
        </w:tc>
        <w:tc>
          <w:tcPr>
            <w:tcW w:w="14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7,436</w:t>
            </w:r>
          </w:p>
        </w:tc>
      </w:tr>
      <w:tr w:rsidR="0009212F" w:rsidRPr="0009212F" w:rsidTr="0009212F">
        <w:trPr>
          <w:trHeight w:val="270"/>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SURPLUS/(DEFICIT) FOR THE PERIOD</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(643)</w:t>
            </w:r>
          </w:p>
        </w:tc>
        <w:tc>
          <w:tcPr>
            <w:tcW w:w="143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(444)</w:t>
            </w:r>
          </w:p>
        </w:tc>
      </w:tr>
      <w:tr w:rsidR="0009212F" w:rsidRPr="0009212F" w:rsidTr="0009212F">
        <w:trPr>
          <w:trHeight w:val="270"/>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70"/>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COMPREHENSIVE INCOME FOR THE PERIOD</w:t>
            </w: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(643)</w:t>
            </w:r>
          </w:p>
        </w:tc>
        <w:tc>
          <w:tcPr>
            <w:tcW w:w="143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(444)</w:t>
            </w:r>
          </w:p>
        </w:tc>
      </w:tr>
      <w:tr w:rsidR="0009212F" w:rsidRPr="0009212F" w:rsidTr="0009212F">
        <w:trPr>
          <w:trHeight w:val="270"/>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10067" w:type="dxa"/>
            <w:gridSpan w:val="4"/>
            <w:tcBorders>
              <w:top w:val="nil"/>
              <w:left w:val="nil"/>
              <w:bottom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Statement of Comprehensive Income should be read in conjunction with the accompanying notes.</w:t>
            </w:r>
          </w:p>
        </w:tc>
      </w:tr>
      <w:tr w:rsidR="0009212F" w:rsidRPr="0009212F" w:rsidTr="0009212F">
        <w:trPr>
          <w:trHeight w:val="255"/>
        </w:trPr>
        <w:tc>
          <w:tcPr>
            <w:tcW w:w="637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1057" w:type="dxa"/>
        <w:tblInd w:w="108" w:type="dxa"/>
        <w:tblLook w:val="04A0" w:firstRow="1" w:lastRow="0" w:firstColumn="1" w:lastColumn="0" w:noHBand="0" w:noVBand="1"/>
      </w:tblPr>
      <w:tblGrid>
        <w:gridCol w:w="4678"/>
        <w:gridCol w:w="676"/>
        <w:gridCol w:w="1796"/>
        <w:gridCol w:w="1796"/>
        <w:gridCol w:w="2111"/>
      </w:tblGrid>
      <w:tr w:rsidR="0009212F" w:rsidRPr="0009212F" w:rsidTr="0009212F">
        <w:trPr>
          <w:trHeight w:val="255"/>
        </w:trPr>
        <w:tc>
          <w:tcPr>
            <w:tcW w:w="11057"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jc w:val="right"/>
              <w:rPr>
                <w:b/>
                <w:bCs/>
                <w:color w:val="404040" w:themeColor="text1" w:themeTint="BF"/>
                <w:sz w:val="18"/>
                <w:szCs w:val="18"/>
                <w:lang w:val="en-AU"/>
              </w:rPr>
            </w:pPr>
            <w:bookmarkStart w:id="1" w:name="RANGE!A1:F50"/>
            <w:bookmarkEnd w:id="1"/>
            <w:r w:rsidRPr="0009212F">
              <w:rPr>
                <w:b/>
                <w:bCs/>
                <w:color w:val="404040" w:themeColor="text1" w:themeTint="BF"/>
                <w:sz w:val="18"/>
                <w:szCs w:val="18"/>
                <w:lang w:val="en-AU"/>
              </w:rPr>
              <w:lastRenderedPageBreak/>
              <w:t>Western Australian Electoral Commission - 30 June 2015</w:t>
            </w:r>
          </w:p>
        </w:tc>
      </w:tr>
      <w:tr w:rsidR="0009212F" w:rsidRPr="0009212F" w:rsidTr="0009212F">
        <w:trPr>
          <w:trHeight w:val="255"/>
        </w:trPr>
        <w:tc>
          <w:tcPr>
            <w:tcW w:w="467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315"/>
        </w:trPr>
        <w:tc>
          <w:tcPr>
            <w:tcW w:w="11057"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Statement of Changes in Equity</w:t>
            </w:r>
          </w:p>
        </w:tc>
      </w:tr>
      <w:tr w:rsidR="0009212F" w:rsidRPr="0009212F" w:rsidTr="0009212F">
        <w:trPr>
          <w:trHeight w:val="255"/>
        </w:trPr>
        <w:tc>
          <w:tcPr>
            <w:tcW w:w="467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For the year ended 30 June 2015</w:t>
            </w: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55"/>
        </w:trPr>
        <w:tc>
          <w:tcPr>
            <w:tcW w:w="467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55"/>
        </w:trPr>
        <w:tc>
          <w:tcPr>
            <w:tcW w:w="467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615"/>
        </w:trPr>
        <w:tc>
          <w:tcPr>
            <w:tcW w:w="467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Note</w:t>
            </w:r>
          </w:p>
        </w:tc>
        <w:tc>
          <w:tcPr>
            <w:tcW w:w="1796"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Contributed equity</w:t>
            </w:r>
          </w:p>
        </w:tc>
        <w:tc>
          <w:tcPr>
            <w:tcW w:w="1796"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Accumulated surplus/(deficit)</w:t>
            </w:r>
          </w:p>
        </w:tc>
        <w:tc>
          <w:tcPr>
            <w:tcW w:w="2111"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equity</w:t>
            </w:r>
          </w:p>
        </w:tc>
      </w:tr>
      <w:tr w:rsidR="0009212F" w:rsidRPr="0009212F" w:rsidTr="0009212F">
        <w:trPr>
          <w:trHeight w:val="255"/>
        </w:trPr>
        <w:tc>
          <w:tcPr>
            <w:tcW w:w="467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Balance at 1 July 2013</w:t>
            </w: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23.</w:t>
            </w:r>
          </w:p>
        </w:tc>
        <w:tc>
          <w:tcPr>
            <w:tcW w:w="179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1,026</w:t>
            </w:r>
          </w:p>
        </w:tc>
        <w:tc>
          <w:tcPr>
            <w:tcW w:w="179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2,116</w:t>
            </w:r>
          </w:p>
        </w:tc>
        <w:tc>
          <w:tcPr>
            <w:tcW w:w="2111"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3,142</w:t>
            </w: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Surplus/(deficit)</w:t>
            </w: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 </w:t>
            </w: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(444)</w:t>
            </w: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(444)</w:t>
            </w: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Total comprehensive income for the period</w:t>
            </w: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 </w:t>
            </w:r>
          </w:p>
        </w:tc>
        <w:tc>
          <w:tcPr>
            <w:tcW w:w="179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(444)</w:t>
            </w:r>
          </w:p>
        </w:tc>
        <w:tc>
          <w:tcPr>
            <w:tcW w:w="2111"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(444)</w:t>
            </w:r>
          </w:p>
        </w:tc>
      </w:tr>
      <w:tr w:rsidR="0009212F" w:rsidRPr="0009212F" w:rsidTr="0009212F">
        <w:trPr>
          <w:trHeight w:val="270"/>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Balance at 30 June 2014</w:t>
            </w: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1,026</w:t>
            </w:r>
          </w:p>
        </w:tc>
        <w:tc>
          <w:tcPr>
            <w:tcW w:w="179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1,672</w:t>
            </w:r>
          </w:p>
        </w:tc>
        <w:tc>
          <w:tcPr>
            <w:tcW w:w="2111"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2,698</w:t>
            </w:r>
          </w:p>
        </w:tc>
      </w:tr>
      <w:tr w:rsidR="0009212F" w:rsidRPr="0009212F" w:rsidTr="0009212F">
        <w:trPr>
          <w:trHeight w:val="270"/>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Balance at 1 July 2014</w:t>
            </w: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1,026</w:t>
            </w:r>
          </w:p>
        </w:tc>
        <w:tc>
          <w:tcPr>
            <w:tcW w:w="179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1,672</w:t>
            </w:r>
          </w:p>
        </w:tc>
        <w:tc>
          <w:tcPr>
            <w:tcW w:w="2111"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2,698</w:t>
            </w: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Surplus/(deficit)</w:t>
            </w: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(643)</w:t>
            </w: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(643)</w:t>
            </w: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Total comprehensive income for the period</w:t>
            </w: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 </w:t>
            </w:r>
          </w:p>
        </w:tc>
        <w:tc>
          <w:tcPr>
            <w:tcW w:w="179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(643)</w:t>
            </w:r>
          </w:p>
        </w:tc>
        <w:tc>
          <w:tcPr>
            <w:tcW w:w="2111"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(643)</w:t>
            </w:r>
          </w:p>
        </w:tc>
      </w:tr>
      <w:tr w:rsidR="0009212F" w:rsidRPr="0009212F" w:rsidTr="0009212F">
        <w:trPr>
          <w:trHeight w:val="270"/>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Balance at 30 June 2015</w:t>
            </w: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1,026</w:t>
            </w:r>
          </w:p>
        </w:tc>
        <w:tc>
          <w:tcPr>
            <w:tcW w:w="1796"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1,029</w:t>
            </w:r>
          </w:p>
        </w:tc>
        <w:tc>
          <w:tcPr>
            <w:tcW w:w="2111" w:type="dxa"/>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2,055</w:t>
            </w:r>
          </w:p>
        </w:tc>
      </w:tr>
      <w:tr w:rsidR="0009212F" w:rsidRPr="0009212F" w:rsidTr="0009212F">
        <w:trPr>
          <w:trHeight w:val="270"/>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11057"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Statement of Changes in Equity should be read in conjunction with the accompanying notes.</w:t>
            </w: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678"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1057" w:type="dxa"/>
        <w:tblInd w:w="108" w:type="dxa"/>
        <w:tblLook w:val="04A0" w:firstRow="1" w:lastRow="0" w:firstColumn="1" w:lastColumn="0" w:noHBand="0" w:noVBand="1"/>
      </w:tblPr>
      <w:tblGrid>
        <w:gridCol w:w="4678"/>
        <w:gridCol w:w="676"/>
        <w:gridCol w:w="1796"/>
        <w:gridCol w:w="1796"/>
        <w:gridCol w:w="2111"/>
      </w:tblGrid>
      <w:tr w:rsidR="0009212F" w:rsidRPr="0009212F" w:rsidTr="0009212F">
        <w:trPr>
          <w:trHeight w:val="255"/>
        </w:trPr>
        <w:tc>
          <w:tcPr>
            <w:tcW w:w="11057"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09212F" w:rsidRPr="0009212F" w:rsidTr="0009212F">
        <w:trPr>
          <w:trHeight w:val="255"/>
        </w:trPr>
        <w:tc>
          <w:tcPr>
            <w:tcW w:w="467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315"/>
        </w:trPr>
        <w:tc>
          <w:tcPr>
            <w:tcW w:w="11057"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Statement of Changes in Equity</w:t>
            </w:r>
          </w:p>
        </w:tc>
      </w:tr>
      <w:tr w:rsidR="0009212F" w:rsidRPr="0009212F" w:rsidTr="0009212F">
        <w:trPr>
          <w:trHeight w:val="255"/>
        </w:trPr>
        <w:tc>
          <w:tcPr>
            <w:tcW w:w="467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For the year ended 30 June 2015</w:t>
            </w:r>
          </w:p>
        </w:tc>
        <w:tc>
          <w:tcPr>
            <w:tcW w:w="6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7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11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bl>
      <w:tblPr>
        <w:tblW w:w="10461" w:type="dxa"/>
        <w:tblInd w:w="250" w:type="dxa"/>
        <w:tblLook w:val="04A0" w:firstRow="1" w:lastRow="0" w:firstColumn="1" w:lastColumn="0" w:noHBand="0" w:noVBand="1"/>
      </w:tblPr>
      <w:tblGrid>
        <w:gridCol w:w="6095"/>
        <w:gridCol w:w="425"/>
        <w:gridCol w:w="851"/>
        <w:gridCol w:w="425"/>
        <w:gridCol w:w="1276"/>
        <w:gridCol w:w="113"/>
        <w:gridCol w:w="1163"/>
        <w:gridCol w:w="113"/>
      </w:tblGrid>
      <w:tr w:rsidR="0009212F" w:rsidRPr="0009212F" w:rsidTr="0009212F">
        <w:trPr>
          <w:gridAfter w:val="1"/>
          <w:wAfter w:w="113" w:type="dxa"/>
          <w:trHeight w:val="330"/>
        </w:trPr>
        <w:tc>
          <w:tcPr>
            <w:tcW w:w="652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Note</w:t>
            </w:r>
          </w:p>
        </w:tc>
        <w:tc>
          <w:tcPr>
            <w:tcW w:w="12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2015</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trHeight w:val="330"/>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CASH FLOWS FROM STATE GOVERNMENT</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Service appropriation</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8,665</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7,213</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Holding account drawdown</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117</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50</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Net cash provided by State Government</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8,782</w:t>
            </w:r>
          </w:p>
        </w:tc>
        <w:tc>
          <w:tcPr>
            <w:tcW w:w="1276" w:type="dxa"/>
            <w:gridSpan w:val="2"/>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7,263</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Utilised as follows: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CASH FLOWS FROM OPERATING ACTIVITIES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Payments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Employee benefits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(4,888)</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(5,830)</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Supplies and services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(2,676)</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(4,244)</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Accommodation</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(1,800)</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(1,697)</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Grants and subsidies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(33)</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GST payments on purchases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(599)</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(497)</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 payments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(46)</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(43)</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Receipts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Receipts from services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632</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4,092</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GST receipts on sales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63</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412</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GST receipts from taxation authority</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555</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407</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Net cash provided by/(used in) operating activities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24.</w:t>
            </w:r>
          </w:p>
        </w:tc>
        <w:tc>
          <w:tcPr>
            <w:tcW w:w="1814" w:type="dxa"/>
            <w:gridSpan w:val="3"/>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(8,792)</w:t>
            </w:r>
          </w:p>
        </w:tc>
        <w:tc>
          <w:tcPr>
            <w:tcW w:w="1276" w:type="dxa"/>
            <w:gridSpan w:val="2"/>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(7,411)</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CASH FLOWS FROM INVESTING ACTIVITIES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Payments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Purchase of non-current assets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(100)</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(232)</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Net cash provided by/(used in) investing activities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(100)</w:t>
            </w:r>
          </w:p>
        </w:tc>
        <w:tc>
          <w:tcPr>
            <w:tcW w:w="1276" w:type="dxa"/>
            <w:gridSpan w:val="2"/>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(232)</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CASH FLOWS FROM FINANCING ACTIVITIES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Payments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Repayment of Treasurer's Advances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 </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(2,881)</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Receipts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402"/>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roofErr w:type="spellStart"/>
            <w:r w:rsidRPr="0009212F">
              <w:rPr>
                <w:color w:val="404040" w:themeColor="text1" w:themeTint="BF"/>
                <w:sz w:val="18"/>
                <w:szCs w:val="18"/>
                <w:lang w:val="en-AU"/>
              </w:rPr>
              <w:t>Poceeds</w:t>
            </w:r>
            <w:proofErr w:type="spellEnd"/>
            <w:r w:rsidRPr="0009212F">
              <w:rPr>
                <w:color w:val="404040" w:themeColor="text1" w:themeTint="BF"/>
                <w:sz w:val="18"/>
                <w:szCs w:val="18"/>
                <w:lang w:val="en-AU"/>
              </w:rPr>
              <w:t xml:space="preserve"> from Treasurer's Advances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 </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2,700 </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Net cash provided by/(used in) financing activities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 </w:t>
            </w:r>
          </w:p>
        </w:tc>
        <w:tc>
          <w:tcPr>
            <w:tcW w:w="1276" w:type="dxa"/>
            <w:gridSpan w:val="2"/>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(181)</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Net increase/(decrease) in cash and cash equivalents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(110)</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(561)</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Cash and cash equivalents at the beginning of the period</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718</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1,279</w:t>
            </w:r>
          </w:p>
        </w:tc>
      </w:tr>
      <w:tr w:rsidR="0009212F" w:rsidRPr="0009212F" w:rsidTr="0009212F">
        <w:trPr>
          <w:trHeight w:val="270"/>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CASH AND CASH EQUIVALENTS AT THE END OF THE PERIOD</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24.</w:t>
            </w:r>
          </w:p>
        </w:tc>
        <w:tc>
          <w:tcPr>
            <w:tcW w:w="1814" w:type="dxa"/>
            <w:gridSpan w:val="3"/>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608</w:t>
            </w:r>
          </w:p>
        </w:tc>
        <w:tc>
          <w:tcPr>
            <w:tcW w:w="1276"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718</w:t>
            </w:r>
          </w:p>
        </w:tc>
      </w:tr>
      <w:tr w:rsidR="0009212F" w:rsidRPr="0009212F" w:rsidTr="0009212F">
        <w:trPr>
          <w:trHeight w:val="270"/>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10461" w:type="dxa"/>
            <w:gridSpan w:val="8"/>
            <w:tcBorders>
              <w:top w:val="nil"/>
              <w:left w:val="nil"/>
              <w:bottom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Statement of Cash Flows should be read in conjunction with the accompanying notes.</w:t>
            </w:r>
          </w:p>
        </w:tc>
      </w:tr>
      <w:tr w:rsidR="0009212F" w:rsidRPr="0009212F" w:rsidTr="0009212F">
        <w:trPr>
          <w:trHeight w:val="255"/>
        </w:trPr>
        <w:tc>
          <w:tcPr>
            <w:tcW w:w="609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1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1057" w:type="dxa"/>
        <w:tblInd w:w="108" w:type="dxa"/>
        <w:tblLayout w:type="fixed"/>
        <w:tblLook w:val="04A0" w:firstRow="1" w:lastRow="0" w:firstColumn="1" w:lastColumn="0" w:noHBand="0" w:noVBand="1"/>
      </w:tblPr>
      <w:tblGrid>
        <w:gridCol w:w="4536"/>
        <w:gridCol w:w="1050"/>
        <w:gridCol w:w="1236"/>
        <w:gridCol w:w="1050"/>
        <w:gridCol w:w="1059"/>
        <w:gridCol w:w="992"/>
        <w:gridCol w:w="1134"/>
      </w:tblGrid>
      <w:tr w:rsidR="0009212F" w:rsidRPr="0009212F" w:rsidTr="0009212F">
        <w:trPr>
          <w:trHeight w:val="255"/>
        </w:trPr>
        <w:tc>
          <w:tcPr>
            <w:tcW w:w="11057"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jc w:val="right"/>
              <w:rPr>
                <w:b/>
                <w:bCs/>
                <w:color w:val="404040" w:themeColor="text1" w:themeTint="BF"/>
                <w:sz w:val="18"/>
                <w:szCs w:val="18"/>
                <w:lang w:val="en-AU"/>
              </w:rPr>
            </w:pPr>
            <w:bookmarkStart w:id="2" w:name="RANGE!A1:G44"/>
            <w:bookmarkEnd w:id="2"/>
            <w:r w:rsidRPr="0009212F">
              <w:rPr>
                <w:b/>
                <w:bCs/>
                <w:color w:val="404040" w:themeColor="text1" w:themeTint="BF"/>
                <w:sz w:val="18"/>
                <w:szCs w:val="18"/>
                <w:lang w:val="en-AU"/>
              </w:rPr>
              <w:lastRenderedPageBreak/>
              <w:t>Western Australian Electoral Commission - 30 June 2015</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11057"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Summary of Consolidated Account Appropriations and Income Estimates</w:t>
            </w:r>
          </w:p>
        </w:tc>
      </w:tr>
      <w:tr w:rsidR="0009212F" w:rsidRPr="0009212F" w:rsidTr="0009212F">
        <w:trPr>
          <w:trHeight w:val="255"/>
        </w:trPr>
        <w:tc>
          <w:tcPr>
            <w:tcW w:w="11057"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For the year ended 30 June 2015</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19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2015</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2015</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2015</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2014 </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Estimate </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Actual </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Variance </w:t>
            </w: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Actual </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Actual </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Variance </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050"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123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1050"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1059"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992"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1134"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240"/>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Delivery of Services</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Item 33 Net amount appropriated to deliver services</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6,562</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6,790</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228</w:t>
            </w: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6,790</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6,660</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130</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Amount Authorised by Other Statutes</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 Salaries and Allowances Act 1975</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409</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409</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w:t>
            </w: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409</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401</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8</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 Electoral Act 1907</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600</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1,400</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800</w:t>
            </w: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1,400</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200</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1,200</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 Industrial Relations Act 1979</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116</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116</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w:t>
            </w: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116</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116</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appropriations provided to deliver services</w:t>
            </w:r>
          </w:p>
        </w:tc>
        <w:tc>
          <w:tcPr>
            <w:tcW w:w="1050"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7,687</w:t>
            </w:r>
          </w:p>
        </w:tc>
        <w:tc>
          <w:tcPr>
            <w:tcW w:w="12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8,715</w:t>
            </w:r>
          </w:p>
        </w:tc>
        <w:tc>
          <w:tcPr>
            <w:tcW w:w="1050"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1,028</w:t>
            </w:r>
          </w:p>
        </w:tc>
        <w:tc>
          <w:tcPr>
            <w:tcW w:w="1059"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8,715</w:t>
            </w:r>
          </w:p>
        </w:tc>
        <w:tc>
          <w:tcPr>
            <w:tcW w:w="992"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7,377</w:t>
            </w:r>
          </w:p>
        </w:tc>
        <w:tc>
          <w:tcPr>
            <w:tcW w:w="1134"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1,338</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70"/>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GRAND TOTAL </w:t>
            </w:r>
          </w:p>
        </w:tc>
        <w:tc>
          <w:tcPr>
            <w:tcW w:w="1050"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7,687</w:t>
            </w:r>
          </w:p>
        </w:tc>
        <w:tc>
          <w:tcPr>
            <w:tcW w:w="1236"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8,715</w:t>
            </w:r>
          </w:p>
        </w:tc>
        <w:tc>
          <w:tcPr>
            <w:tcW w:w="1050"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1,028</w:t>
            </w:r>
          </w:p>
        </w:tc>
        <w:tc>
          <w:tcPr>
            <w:tcW w:w="1059"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8,715</w:t>
            </w:r>
          </w:p>
        </w:tc>
        <w:tc>
          <w:tcPr>
            <w:tcW w:w="992"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7,377</w:t>
            </w:r>
          </w:p>
        </w:tc>
        <w:tc>
          <w:tcPr>
            <w:tcW w:w="1134"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1,338</w:t>
            </w:r>
          </w:p>
        </w:tc>
      </w:tr>
      <w:tr w:rsidR="0009212F" w:rsidRPr="0009212F" w:rsidTr="0009212F">
        <w:trPr>
          <w:trHeight w:val="270"/>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40"/>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Details of Expenses by Service</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536" w:type="dxa"/>
            <w:tcBorders>
              <w:top w:val="nil"/>
              <w:left w:val="nil"/>
              <w:bottom w:val="nil"/>
              <w:right w:val="nil"/>
            </w:tcBorders>
            <w:shd w:val="clear" w:color="auto" w:fill="auto"/>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Electoral Services</w:t>
            </w:r>
          </w:p>
        </w:tc>
        <w:tc>
          <w:tcPr>
            <w:tcW w:w="1050"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10,716</w:t>
            </w:r>
          </w:p>
        </w:tc>
        <w:tc>
          <w:tcPr>
            <w:tcW w:w="123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10,083 </w:t>
            </w:r>
          </w:p>
        </w:tc>
        <w:tc>
          <w:tcPr>
            <w:tcW w:w="1050"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(633)</w:t>
            </w:r>
          </w:p>
        </w:tc>
        <w:tc>
          <w:tcPr>
            <w:tcW w:w="1059"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10,083 </w:t>
            </w:r>
          </w:p>
        </w:tc>
        <w:tc>
          <w:tcPr>
            <w:tcW w:w="992"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11,925</w:t>
            </w:r>
          </w:p>
        </w:tc>
        <w:tc>
          <w:tcPr>
            <w:tcW w:w="1134"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(1,842)</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Total Cost of Services</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10,716</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10,083 </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(633)</w:t>
            </w: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10,083 </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11,925</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(1,842)</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i/>
                <w:iCs/>
                <w:color w:val="404040" w:themeColor="text1" w:themeTint="BF"/>
                <w:sz w:val="18"/>
                <w:szCs w:val="18"/>
                <w:lang w:val="en-AU"/>
              </w:rPr>
              <w:t>Less</w:t>
            </w:r>
            <w:r w:rsidRPr="0009212F">
              <w:rPr>
                <w:color w:val="404040" w:themeColor="text1" w:themeTint="BF"/>
                <w:sz w:val="18"/>
                <w:szCs w:val="18"/>
                <w:lang w:val="en-AU"/>
              </w:rPr>
              <w:t xml:space="preserve"> Total income</w:t>
            </w:r>
          </w:p>
        </w:tc>
        <w:tc>
          <w:tcPr>
            <w:tcW w:w="1050"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(3,279)</w:t>
            </w:r>
          </w:p>
        </w:tc>
        <w:tc>
          <w:tcPr>
            <w:tcW w:w="1236"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(635)</w:t>
            </w:r>
          </w:p>
        </w:tc>
        <w:tc>
          <w:tcPr>
            <w:tcW w:w="1050"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2,644</w:t>
            </w:r>
          </w:p>
        </w:tc>
        <w:tc>
          <w:tcPr>
            <w:tcW w:w="1059"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(635)</w:t>
            </w:r>
          </w:p>
        </w:tc>
        <w:tc>
          <w:tcPr>
            <w:tcW w:w="992"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(4,045)</w:t>
            </w:r>
          </w:p>
        </w:tc>
        <w:tc>
          <w:tcPr>
            <w:tcW w:w="1134" w:type="dxa"/>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3,410</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Net Cost of Services</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7,437</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9,448 </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2,011</w:t>
            </w: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9,448 </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7,880</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1,564</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Adjustments</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260</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(733)</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(983)</w:t>
            </w: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(733)</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(503)</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(226)</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appropriations provided to deliver services</w:t>
            </w:r>
          </w:p>
        </w:tc>
        <w:tc>
          <w:tcPr>
            <w:tcW w:w="1050"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7,687</w:t>
            </w:r>
          </w:p>
        </w:tc>
        <w:tc>
          <w:tcPr>
            <w:tcW w:w="1236"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8,715</w:t>
            </w:r>
          </w:p>
        </w:tc>
        <w:tc>
          <w:tcPr>
            <w:tcW w:w="1050"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1,028 </w:t>
            </w:r>
          </w:p>
        </w:tc>
        <w:tc>
          <w:tcPr>
            <w:tcW w:w="1059"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8,715</w:t>
            </w:r>
          </w:p>
        </w:tc>
        <w:tc>
          <w:tcPr>
            <w:tcW w:w="992"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7,377</w:t>
            </w:r>
          </w:p>
        </w:tc>
        <w:tc>
          <w:tcPr>
            <w:tcW w:w="1134"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1,338</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 xml:space="preserve">Capital Expenditure </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Purchase of non-current assets</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117</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100</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(17)</w:t>
            </w: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100</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232</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(132)</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Adjustments for other funding sources</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(117)</w:t>
            </w: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(100)</w:t>
            </w: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17</w:t>
            </w: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(100)</w:t>
            </w: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(232)</w:t>
            </w: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132</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Capital appropriations</w:t>
            </w:r>
          </w:p>
        </w:tc>
        <w:tc>
          <w:tcPr>
            <w:tcW w:w="1050"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   </w:t>
            </w:r>
          </w:p>
        </w:tc>
        <w:tc>
          <w:tcPr>
            <w:tcW w:w="1236"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   </w:t>
            </w:r>
          </w:p>
        </w:tc>
        <w:tc>
          <w:tcPr>
            <w:tcW w:w="1050"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   </w:t>
            </w:r>
          </w:p>
        </w:tc>
        <w:tc>
          <w:tcPr>
            <w:tcW w:w="1059"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   </w:t>
            </w:r>
          </w:p>
        </w:tc>
        <w:tc>
          <w:tcPr>
            <w:tcW w:w="992"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   </w:t>
            </w:r>
          </w:p>
        </w:tc>
        <w:tc>
          <w:tcPr>
            <w:tcW w:w="1134"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   </w:t>
            </w:r>
          </w:p>
        </w:tc>
      </w:tr>
      <w:tr w:rsidR="0009212F" w:rsidRPr="0009212F" w:rsidTr="0009212F">
        <w:trPr>
          <w:trHeight w:val="270"/>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11057"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Adjustments comprise movements in cash balances and other accrual items such as receivables, payables and superannuation.</w:t>
            </w:r>
          </w:p>
        </w:tc>
      </w:tr>
      <w:tr w:rsidR="0009212F" w:rsidRPr="0009212F" w:rsidTr="0009212F">
        <w:trPr>
          <w:trHeight w:val="255"/>
        </w:trPr>
        <w:tc>
          <w:tcPr>
            <w:tcW w:w="45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510"/>
        </w:trPr>
        <w:tc>
          <w:tcPr>
            <w:tcW w:w="11057" w:type="dxa"/>
            <w:gridSpan w:val="7"/>
            <w:tcBorders>
              <w:top w:val="nil"/>
              <w:left w:val="nil"/>
              <w:bottom w:val="nil"/>
              <w:right w:val="nil"/>
            </w:tcBorders>
            <w:shd w:val="clear" w:color="auto" w:fill="auto"/>
            <w:hideMark/>
          </w:tcPr>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Note 28 'Explanatory statement' provides details of any significant variations between estimates and actual results for 2015 and between the actual results for 2015 and 2014.</w:t>
            </w: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24"/>
          <w:szCs w:val="24"/>
          <w:lang w:val="en-AU"/>
        </w:rPr>
      </w:pPr>
      <w:r w:rsidRPr="0009212F">
        <w:rPr>
          <w:color w:val="404040" w:themeColor="text1" w:themeTint="BF"/>
          <w:sz w:val="18"/>
          <w:szCs w:val="18"/>
          <w:lang w:val="en-AU"/>
        </w:rPr>
        <w:br w:type="page"/>
      </w:r>
      <w:r w:rsidRPr="0009212F">
        <w:rPr>
          <w:b/>
          <w:bCs/>
          <w:color w:val="404040" w:themeColor="text1" w:themeTint="BF"/>
          <w:sz w:val="24"/>
          <w:szCs w:val="24"/>
          <w:lang w:val="en-AU"/>
        </w:rPr>
        <w:lastRenderedPageBreak/>
        <w:t>Notes to the Financial Statements</w:t>
      </w:r>
    </w:p>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For the year ended 30 June 2015</w:t>
      </w:r>
    </w:p>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roofErr w:type="gramStart"/>
      <w:r w:rsidRPr="0009212F">
        <w:rPr>
          <w:b/>
          <w:bCs/>
          <w:i/>
          <w:iCs/>
          <w:color w:val="404040" w:themeColor="text1" w:themeTint="BF"/>
          <w:sz w:val="18"/>
          <w:szCs w:val="18"/>
          <w:lang w:val="en-AU"/>
        </w:rPr>
        <w:t>Note 1.</w:t>
      </w:r>
      <w:proofErr w:type="gramEnd"/>
      <w:r w:rsidRPr="0009212F">
        <w:rPr>
          <w:b/>
          <w:bCs/>
          <w:i/>
          <w:iCs/>
          <w:color w:val="404040" w:themeColor="text1" w:themeTint="BF"/>
          <w:sz w:val="18"/>
          <w:szCs w:val="18"/>
          <w:lang w:val="en-AU"/>
        </w:rPr>
        <w:t xml:space="preserve"> Australian Accounting Standards</w:t>
      </w:r>
    </w:p>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General</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Commission’s financial statements for the year ended 30 June 2015 have been prepared in accordance with Australian Accounting Standards. </w:t>
      </w:r>
      <w:proofErr w:type="gramStart"/>
      <w:r w:rsidRPr="0009212F">
        <w:rPr>
          <w:color w:val="404040" w:themeColor="text1" w:themeTint="BF"/>
          <w:sz w:val="18"/>
          <w:szCs w:val="18"/>
          <w:lang w:val="en-AU"/>
        </w:rPr>
        <w:t>The term ‘Australian Accounting Standards’ includes Standards and Interpretations issued by the Australian Accounting Standards Board (AASB).</w:t>
      </w:r>
      <w:proofErr w:type="gramEnd"/>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Commission has adopted any applicable new and revised Australian Accounting Standards from their operative dates.</w:t>
      </w:r>
    </w:p>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Early adoption of standards</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Commission cannot early adopt an Australian Accounting Standard unless specifically permitted by TI 1101 </w:t>
      </w:r>
      <w:r w:rsidRPr="0009212F">
        <w:rPr>
          <w:i/>
          <w:iCs/>
          <w:color w:val="404040" w:themeColor="text1" w:themeTint="BF"/>
          <w:sz w:val="18"/>
          <w:szCs w:val="18"/>
          <w:lang w:val="en-AU"/>
        </w:rPr>
        <w:t>Application of Australian Accounting Standards and Other Pronouncements</w:t>
      </w:r>
      <w:r w:rsidRPr="0009212F">
        <w:rPr>
          <w:color w:val="404040" w:themeColor="text1" w:themeTint="BF"/>
          <w:sz w:val="18"/>
          <w:szCs w:val="18"/>
          <w:lang w:val="en-AU"/>
        </w:rPr>
        <w:t>. Partial exemption permitting early adoption of AASB 2015-7 Amendments to Australian Accounting Standards – Fair Value Disclosures of Not-for-Profit Public Sector Entities has been granted. Aside from AASB 2015-7, there has been no early adoption of any other Australian Accounting Standards that have been issued or amended (but not operative) by the Commission for the annual reporting period ended 30 June 2015.</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b/>
          <w:bCs/>
          <w:i/>
          <w:iCs/>
          <w:color w:val="404040" w:themeColor="text1" w:themeTint="BF"/>
          <w:sz w:val="18"/>
          <w:szCs w:val="18"/>
          <w:lang w:val="en-AU"/>
        </w:rPr>
      </w:pPr>
      <w:proofErr w:type="gramStart"/>
      <w:r w:rsidRPr="0009212F">
        <w:rPr>
          <w:b/>
          <w:bCs/>
          <w:i/>
          <w:iCs/>
          <w:color w:val="404040" w:themeColor="text1" w:themeTint="BF"/>
          <w:sz w:val="18"/>
          <w:szCs w:val="18"/>
          <w:lang w:val="en-AU"/>
        </w:rPr>
        <w:t>Note 2.</w:t>
      </w:r>
      <w:proofErr w:type="gramEnd"/>
      <w:r w:rsidRPr="0009212F">
        <w:rPr>
          <w:b/>
          <w:bCs/>
          <w:i/>
          <w:iCs/>
          <w:color w:val="404040" w:themeColor="text1" w:themeTint="BF"/>
          <w:sz w:val="18"/>
          <w:szCs w:val="18"/>
          <w:lang w:val="en-AU"/>
        </w:rPr>
        <w:t xml:space="preserve"> Summary of significant accounting policies</w:t>
      </w:r>
    </w:p>
    <w:p w:rsidR="0009212F" w:rsidRPr="0009212F" w:rsidRDefault="0009212F" w:rsidP="00047F19">
      <w:pPr>
        <w:pStyle w:val="BodyCopy"/>
        <w:tabs>
          <w:tab w:val="left" w:pos="709"/>
        </w:tabs>
        <w:spacing w:before="40" w:after="40" w:line="160" w:lineRule="atLeast"/>
        <w:rPr>
          <w:b/>
          <w:bCs/>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(a) General statement</w:t>
      </w:r>
    </w:p>
    <w:p w:rsidR="0009212F" w:rsidRPr="0009212F" w:rsidRDefault="0009212F" w:rsidP="00047F19">
      <w:pPr>
        <w:pStyle w:val="BodyCopy"/>
        <w:tabs>
          <w:tab w:val="left" w:pos="709"/>
        </w:tabs>
        <w:spacing w:before="40" w:after="40" w:line="160" w:lineRule="atLeast"/>
        <w:rPr>
          <w:i/>
          <w:iCs/>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Commission is a not-for-profit reporting entity that prepares general purpose financial statements in accordance with Australian Accounting Standards, the Framework, Statements of Accounting Concepts and other authoritative pronouncements of the AASB as applied by the Treasurer's instructions. Several of these are modified by the Treasurer's instructions to vary application, disclosure, format and wording. </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w:t>
      </w:r>
      <w:r w:rsidRPr="0009212F">
        <w:rPr>
          <w:i/>
          <w:iCs/>
          <w:color w:val="404040" w:themeColor="text1" w:themeTint="BF"/>
          <w:sz w:val="18"/>
          <w:szCs w:val="18"/>
          <w:lang w:val="en-AU"/>
        </w:rPr>
        <w:t xml:space="preserve">Financial Management Act 2006 </w:t>
      </w:r>
      <w:r w:rsidRPr="0009212F">
        <w:rPr>
          <w:color w:val="404040" w:themeColor="text1" w:themeTint="BF"/>
          <w:sz w:val="18"/>
          <w:szCs w:val="18"/>
          <w:lang w:val="en-AU"/>
        </w:rPr>
        <w:t>and the Treasurer's instructions impose legislative provisions that govern the preparation of financial statements and take precedence over Australian Accounting Standards, the Framework, Statements of Accounting Concepts and other authoritative pronouncements of the AASB.</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Where modification is required and has had a material or significant financial effect upon the reported results, details of that modification and the resulting financial effect are disclosed in the notes to the financial statements.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(b) Basis of preparation</w:t>
      </w:r>
    </w:p>
    <w:p w:rsidR="0009212F" w:rsidRPr="0009212F" w:rsidRDefault="0009212F" w:rsidP="00047F19">
      <w:pPr>
        <w:pStyle w:val="BodyCopy"/>
        <w:tabs>
          <w:tab w:val="left" w:pos="709"/>
        </w:tabs>
        <w:spacing w:before="40" w:after="40" w:line="160" w:lineRule="atLeast"/>
        <w:rPr>
          <w:b/>
          <w:bCs/>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financial statements have been prepared on the accrual basis of accounting using the historical cost convention.</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accounting policies adopted in the preparation of the financial statements have been consistently applied throughout all periods presented unless otherwise stated.</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financial statements are presented in Australian dollars and all values are rounded to the nearest thousand dollars ($'000).</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Note 3 ‘Judgements made by management in applying accounting policies’ discloses judgements that have been made in the process of applying the Commission’s accounting policies resulting in the most significant effect on amounts recognised in the financial statements. </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Note 4 ‘Key sources of estimation uncertainty’ discloses key assumptions made concerning the future, and other key sources of estimation uncertainty at the end of the reporting period, that have a significant risk of causing a material adjustment to the carrying amounts of assets and liabilities within the next financial year.</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(c) Reporting entity</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reporting entity comprises the Commission and there are no related bodies.</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b/>
          <w:color w:val="404040" w:themeColor="text1" w:themeTint="BF"/>
          <w:sz w:val="18"/>
          <w:szCs w:val="18"/>
          <w:lang w:val="en-AU"/>
        </w:rPr>
      </w:pPr>
      <w:r w:rsidRPr="0009212F">
        <w:rPr>
          <w:b/>
          <w:color w:val="404040" w:themeColor="text1" w:themeTint="BF"/>
          <w:sz w:val="18"/>
          <w:szCs w:val="18"/>
          <w:lang w:val="en-AU"/>
        </w:rPr>
        <w:t>Mission</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To provide all Western Australians with accessible, efficient and high quality electoral and enrolment services. </w:t>
      </w:r>
    </w:p>
    <w:p w:rsidR="0009212F" w:rsidRPr="0009212F" w:rsidRDefault="0009212F" w:rsidP="005049C0">
      <w:pPr>
        <w:pStyle w:val="BodyCopy"/>
        <w:tabs>
          <w:tab w:val="left" w:pos="709"/>
        </w:tabs>
        <w:spacing w:before="40" w:after="40" w:line="160" w:lineRule="atLeast"/>
        <w:rPr>
          <w:b/>
          <w:color w:val="404040" w:themeColor="text1" w:themeTint="BF"/>
          <w:sz w:val="18"/>
          <w:szCs w:val="18"/>
          <w:lang w:val="en-AU"/>
        </w:rPr>
      </w:pPr>
      <w:r w:rsidRPr="0009212F">
        <w:rPr>
          <w:b/>
          <w:color w:val="404040" w:themeColor="text1" w:themeTint="BF"/>
          <w:sz w:val="18"/>
          <w:szCs w:val="18"/>
          <w:lang w:val="en-AU"/>
        </w:rPr>
        <w:lastRenderedPageBreak/>
        <w:t>Services</w:t>
      </w: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Service provided by the Commission: Provision of Independent, Impartial and Efficient Electoral Services to Electors for Parliament and other Electoral Clients”.</w:t>
      </w:r>
    </w:p>
    <w:p w:rsidR="0009212F" w:rsidRPr="0009212F" w:rsidRDefault="0009212F" w:rsidP="00047F19">
      <w:pPr>
        <w:pStyle w:val="BodyCopy"/>
        <w:spacing w:before="40" w:after="40" w:line="160" w:lineRule="atLeast"/>
        <w:rPr>
          <w:color w:val="404040" w:themeColor="text1" w:themeTint="BF"/>
          <w:sz w:val="18"/>
          <w:szCs w:val="18"/>
          <w:lang w:val="en-AU"/>
        </w:rPr>
      </w:pPr>
    </w:p>
    <w:p w:rsidR="0009212F" w:rsidRPr="0009212F" w:rsidRDefault="0009212F" w:rsidP="00047F19">
      <w:pPr>
        <w:pStyle w:val="BodyCopy"/>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(d) Contributed equity</w:t>
      </w:r>
    </w:p>
    <w:p w:rsidR="0009212F" w:rsidRPr="0009212F" w:rsidRDefault="0009212F" w:rsidP="00047F19">
      <w:pPr>
        <w:pStyle w:val="BodyCopy"/>
        <w:spacing w:before="40" w:after="40" w:line="160" w:lineRule="atLeast"/>
        <w:rPr>
          <w:i/>
          <w:iCs/>
          <w:color w:val="404040" w:themeColor="text1" w:themeTint="BF"/>
          <w:sz w:val="18"/>
          <w:szCs w:val="18"/>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AASB Interpretation 1038 </w:t>
      </w:r>
      <w:r w:rsidRPr="0009212F">
        <w:rPr>
          <w:i/>
          <w:iCs/>
          <w:color w:val="404040" w:themeColor="text1" w:themeTint="BF"/>
          <w:sz w:val="18"/>
          <w:szCs w:val="18"/>
          <w:lang w:val="en-AU"/>
        </w:rPr>
        <w:t xml:space="preserve">Contributions by Owners Made to Wholly-Owned Public Sector Entities </w:t>
      </w:r>
      <w:r w:rsidRPr="0009212F">
        <w:rPr>
          <w:color w:val="404040" w:themeColor="text1" w:themeTint="BF"/>
          <w:sz w:val="18"/>
          <w:szCs w:val="18"/>
          <w:lang w:val="en-AU"/>
        </w:rPr>
        <w:t xml:space="preserve">requires transfers in the nature of equity contributions, other than as a result of a restructure of administrative arrangements, to be designated by the Government (the owner) as contributions by owners (at the time of, or prior to transfer) before such transfers can be recognised as equity contributions. Capital appropriations have been designated as contributions by owners by TI 955 </w:t>
      </w:r>
      <w:r w:rsidRPr="0009212F">
        <w:rPr>
          <w:i/>
          <w:iCs/>
          <w:color w:val="404040" w:themeColor="text1" w:themeTint="BF"/>
          <w:sz w:val="18"/>
          <w:szCs w:val="18"/>
          <w:lang w:val="en-AU"/>
        </w:rPr>
        <w:t xml:space="preserve">Contributions by Owners made to Wholly Owned Public Sector Entities </w:t>
      </w:r>
      <w:r w:rsidRPr="0009212F">
        <w:rPr>
          <w:color w:val="404040" w:themeColor="text1" w:themeTint="BF"/>
          <w:sz w:val="18"/>
          <w:szCs w:val="18"/>
          <w:lang w:val="en-AU"/>
        </w:rPr>
        <w:t>and have been credited directly to Contributed Equity.</w:t>
      </w:r>
    </w:p>
    <w:p w:rsidR="0009212F" w:rsidRPr="0009212F" w:rsidRDefault="0009212F" w:rsidP="00047F19">
      <w:pPr>
        <w:pStyle w:val="BodyCopy"/>
        <w:spacing w:before="40" w:after="40" w:line="160" w:lineRule="atLeast"/>
        <w:rPr>
          <w:color w:val="404040" w:themeColor="text1" w:themeTint="BF"/>
          <w:sz w:val="18"/>
          <w:szCs w:val="18"/>
          <w:lang w:val="en-AU"/>
        </w:rPr>
      </w:pPr>
    </w:p>
    <w:p w:rsidR="0009212F" w:rsidRPr="0009212F" w:rsidRDefault="0009212F" w:rsidP="00047F19">
      <w:pPr>
        <w:pStyle w:val="BodyCopy"/>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(e) Income</w:t>
      </w:r>
    </w:p>
    <w:p w:rsidR="0009212F" w:rsidRPr="0009212F" w:rsidRDefault="0009212F" w:rsidP="00047F19">
      <w:pPr>
        <w:pStyle w:val="BodyCopy"/>
        <w:spacing w:before="40" w:after="40" w:line="160" w:lineRule="atLeast"/>
        <w:rPr>
          <w:color w:val="404040" w:themeColor="text1" w:themeTint="BF"/>
          <w:sz w:val="18"/>
          <w:szCs w:val="18"/>
          <w:u w:val="single"/>
          <w:lang w:val="en-AU"/>
        </w:rPr>
      </w:pPr>
    </w:p>
    <w:p w:rsidR="0009212F" w:rsidRPr="0009212F" w:rsidRDefault="0009212F" w:rsidP="00047F19">
      <w:pPr>
        <w:pStyle w:val="BodyCopy"/>
        <w:spacing w:before="40" w:after="40" w:line="160" w:lineRule="atLeast"/>
        <w:rPr>
          <w:color w:val="404040" w:themeColor="text1" w:themeTint="BF"/>
          <w:sz w:val="18"/>
          <w:szCs w:val="18"/>
          <w:u w:val="single"/>
          <w:lang w:val="en-AU"/>
        </w:rPr>
      </w:pPr>
      <w:r w:rsidRPr="0009212F">
        <w:rPr>
          <w:color w:val="404040" w:themeColor="text1" w:themeTint="BF"/>
          <w:sz w:val="18"/>
          <w:szCs w:val="18"/>
          <w:u w:val="single"/>
          <w:lang w:val="en-AU"/>
        </w:rPr>
        <w:t>Revenue recognition</w:t>
      </w:r>
    </w:p>
    <w:p w:rsidR="0009212F" w:rsidRPr="0009212F" w:rsidRDefault="0009212F" w:rsidP="00047F19">
      <w:pPr>
        <w:pStyle w:val="BodyCopy"/>
        <w:spacing w:before="40" w:after="40" w:line="160" w:lineRule="atLeast"/>
        <w:rPr>
          <w:color w:val="404040" w:themeColor="text1" w:themeTint="BF"/>
          <w:sz w:val="18"/>
          <w:szCs w:val="18"/>
          <w:u w:val="single"/>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Revenue is recognised and measured at the fair value of consideration received or receivable. Revenue is recognised for the major business activities as follows:</w:t>
      </w:r>
    </w:p>
    <w:p w:rsidR="0009212F" w:rsidRPr="0009212F" w:rsidRDefault="0009212F" w:rsidP="00047F19">
      <w:pPr>
        <w:pStyle w:val="BodyCopy"/>
        <w:spacing w:before="40" w:after="40" w:line="160" w:lineRule="atLeast"/>
        <w:rPr>
          <w:i/>
          <w:iCs/>
          <w:color w:val="404040" w:themeColor="text1" w:themeTint="BF"/>
          <w:sz w:val="18"/>
          <w:szCs w:val="18"/>
          <w:lang w:val="en-AU"/>
        </w:rPr>
      </w:pPr>
    </w:p>
    <w:p w:rsidR="0009212F" w:rsidRPr="0009212F" w:rsidRDefault="0009212F" w:rsidP="00047F19">
      <w:pPr>
        <w:pStyle w:val="BodyCopy"/>
        <w:spacing w:before="40" w:after="40" w:line="160" w:lineRule="atLeast"/>
        <w:rPr>
          <w:i/>
          <w:iCs/>
          <w:color w:val="404040" w:themeColor="text1" w:themeTint="BF"/>
          <w:sz w:val="18"/>
          <w:szCs w:val="18"/>
          <w:lang w:val="en-AU"/>
        </w:rPr>
      </w:pPr>
      <w:r w:rsidRPr="0009212F">
        <w:rPr>
          <w:i/>
          <w:iCs/>
          <w:color w:val="404040" w:themeColor="text1" w:themeTint="BF"/>
          <w:sz w:val="18"/>
          <w:szCs w:val="18"/>
          <w:lang w:val="en-AU"/>
        </w:rPr>
        <w:t>Sale of roll products</w:t>
      </w:r>
    </w:p>
    <w:p w:rsidR="0009212F" w:rsidRPr="0009212F" w:rsidRDefault="0009212F" w:rsidP="00047F19">
      <w:pPr>
        <w:pStyle w:val="BodyCopy"/>
        <w:spacing w:before="40" w:after="40" w:line="160" w:lineRule="atLeast"/>
        <w:rPr>
          <w:i/>
          <w:iCs/>
          <w:color w:val="404040" w:themeColor="text1" w:themeTint="BF"/>
          <w:sz w:val="18"/>
          <w:szCs w:val="18"/>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Revenue is recognised from the sale of goods and disposal of other assets when the significant risks and rewards of ownership transfer to the purchaser and can be measured reliably.</w:t>
      </w:r>
    </w:p>
    <w:p w:rsidR="0009212F" w:rsidRPr="0009212F" w:rsidRDefault="0009212F" w:rsidP="00047F19">
      <w:pPr>
        <w:pStyle w:val="BodyCopy"/>
        <w:spacing w:before="40" w:after="40" w:line="160" w:lineRule="atLeast"/>
        <w:rPr>
          <w:color w:val="404040" w:themeColor="text1" w:themeTint="BF"/>
          <w:sz w:val="18"/>
          <w:szCs w:val="18"/>
          <w:lang w:val="en-AU"/>
        </w:rPr>
      </w:pPr>
    </w:p>
    <w:p w:rsidR="0009212F" w:rsidRPr="0009212F" w:rsidRDefault="0009212F" w:rsidP="00047F19">
      <w:pPr>
        <w:pStyle w:val="BodyCopy"/>
        <w:spacing w:before="40" w:after="40" w:line="160" w:lineRule="atLeast"/>
        <w:rPr>
          <w:i/>
          <w:iCs/>
          <w:color w:val="404040" w:themeColor="text1" w:themeTint="BF"/>
          <w:sz w:val="18"/>
          <w:szCs w:val="18"/>
          <w:lang w:val="en-AU"/>
        </w:rPr>
      </w:pPr>
      <w:r w:rsidRPr="0009212F">
        <w:rPr>
          <w:i/>
          <w:iCs/>
          <w:color w:val="404040" w:themeColor="text1" w:themeTint="BF"/>
          <w:sz w:val="18"/>
          <w:szCs w:val="18"/>
          <w:lang w:val="en-AU"/>
        </w:rPr>
        <w:t>Provision of services</w:t>
      </w:r>
    </w:p>
    <w:p w:rsidR="0009212F" w:rsidRPr="0009212F" w:rsidRDefault="0009212F" w:rsidP="00047F19">
      <w:pPr>
        <w:pStyle w:val="BodyCopy"/>
        <w:spacing w:before="40" w:after="40" w:line="160" w:lineRule="atLeast"/>
        <w:rPr>
          <w:i/>
          <w:iCs/>
          <w:color w:val="404040" w:themeColor="text1" w:themeTint="BF"/>
          <w:sz w:val="18"/>
          <w:szCs w:val="18"/>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Revenue is recognised by reference to the stage of completion of the transaction.</w:t>
      </w:r>
    </w:p>
    <w:p w:rsidR="0009212F" w:rsidRPr="0009212F" w:rsidRDefault="0009212F" w:rsidP="00047F19">
      <w:pPr>
        <w:pStyle w:val="BodyCopy"/>
        <w:spacing w:before="40" w:after="40" w:line="160" w:lineRule="atLeast"/>
        <w:rPr>
          <w:color w:val="404040" w:themeColor="text1" w:themeTint="BF"/>
          <w:sz w:val="18"/>
          <w:szCs w:val="18"/>
          <w:lang w:val="en-AU"/>
        </w:rPr>
      </w:pPr>
    </w:p>
    <w:p w:rsidR="0009212F" w:rsidRPr="0009212F" w:rsidRDefault="0009212F" w:rsidP="00047F19">
      <w:pPr>
        <w:pStyle w:val="BodyCopy"/>
        <w:spacing w:before="40" w:after="40" w:line="160" w:lineRule="atLeast"/>
        <w:rPr>
          <w:i/>
          <w:iCs/>
          <w:color w:val="404040" w:themeColor="text1" w:themeTint="BF"/>
          <w:sz w:val="18"/>
          <w:szCs w:val="18"/>
          <w:lang w:val="en-AU"/>
        </w:rPr>
      </w:pPr>
      <w:r w:rsidRPr="0009212F">
        <w:rPr>
          <w:i/>
          <w:iCs/>
          <w:color w:val="404040" w:themeColor="text1" w:themeTint="BF"/>
          <w:sz w:val="18"/>
          <w:szCs w:val="18"/>
          <w:lang w:val="en-AU"/>
        </w:rPr>
        <w:t>Service appropriations</w:t>
      </w:r>
    </w:p>
    <w:p w:rsidR="0009212F" w:rsidRPr="0009212F" w:rsidRDefault="0009212F" w:rsidP="00047F19">
      <w:pPr>
        <w:pStyle w:val="BodyCopy"/>
        <w:spacing w:before="40" w:after="40" w:line="160" w:lineRule="atLeast"/>
        <w:rPr>
          <w:color w:val="404040" w:themeColor="text1" w:themeTint="BF"/>
          <w:sz w:val="18"/>
          <w:szCs w:val="18"/>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Service Appropriations are recognised as revenues at fair value in the period in which the Commission gains control of the appropriated funds. The Commission gains control of appropriated funds at the time those funds are deposited to the Commission’s bank account or credited to the ‘Amounts receivable for services’ (holding account) held at Treasury.</w:t>
      </w:r>
    </w:p>
    <w:p w:rsidR="0009212F" w:rsidRPr="0009212F" w:rsidRDefault="0009212F" w:rsidP="00047F19">
      <w:pPr>
        <w:pStyle w:val="BodyCopy"/>
        <w:spacing w:before="40" w:after="40" w:line="160" w:lineRule="atLeast"/>
        <w:rPr>
          <w:i/>
          <w:iCs/>
          <w:color w:val="404040" w:themeColor="text1" w:themeTint="BF"/>
          <w:sz w:val="18"/>
          <w:szCs w:val="18"/>
          <w:lang w:val="en-AU"/>
        </w:rPr>
      </w:pPr>
    </w:p>
    <w:p w:rsidR="0009212F" w:rsidRPr="0009212F" w:rsidRDefault="0009212F" w:rsidP="00047F19">
      <w:pPr>
        <w:pStyle w:val="BodyCopy"/>
        <w:spacing w:before="40" w:after="40" w:line="160" w:lineRule="atLeast"/>
        <w:rPr>
          <w:i/>
          <w:iCs/>
          <w:color w:val="404040" w:themeColor="text1" w:themeTint="BF"/>
          <w:sz w:val="18"/>
          <w:szCs w:val="18"/>
          <w:lang w:val="en-AU"/>
        </w:rPr>
      </w:pPr>
      <w:r w:rsidRPr="0009212F">
        <w:rPr>
          <w:i/>
          <w:iCs/>
          <w:color w:val="404040" w:themeColor="text1" w:themeTint="BF"/>
          <w:sz w:val="18"/>
          <w:szCs w:val="18"/>
          <w:lang w:val="en-AU"/>
        </w:rPr>
        <w:t>Net Appropriation Determination</w:t>
      </w:r>
    </w:p>
    <w:p w:rsidR="0009212F" w:rsidRPr="0009212F" w:rsidRDefault="0009212F" w:rsidP="00047F19">
      <w:pPr>
        <w:pStyle w:val="BodyCopy"/>
        <w:spacing w:before="40" w:after="40" w:line="160" w:lineRule="atLeast"/>
        <w:rPr>
          <w:color w:val="404040" w:themeColor="text1" w:themeTint="BF"/>
          <w:sz w:val="18"/>
          <w:szCs w:val="18"/>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Treasurer may make a determination providing for prescribed receipts to be retained for services under the control of the Commission. In accordance with the most recent determination, as quantified in the 2014-15 Budget Statements, the Commission retained $634,871 in 2015 ($4,044,747 in 2014) from the following:</w:t>
      </w:r>
    </w:p>
    <w:p w:rsidR="0009212F" w:rsidRPr="0009212F" w:rsidRDefault="0009212F" w:rsidP="00047F19">
      <w:pPr>
        <w:pStyle w:val="BodyCopy"/>
        <w:numPr>
          <w:ilvl w:val="0"/>
          <w:numId w:val="9"/>
        </w:numPr>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Sale of roll products; and</w:t>
      </w:r>
    </w:p>
    <w:p w:rsidR="0009212F" w:rsidRPr="0009212F" w:rsidRDefault="0009212F" w:rsidP="00047F19">
      <w:pPr>
        <w:pStyle w:val="BodyCopy"/>
        <w:numPr>
          <w:ilvl w:val="0"/>
          <w:numId w:val="9"/>
        </w:numPr>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Other departmental revenue (predominantly from the conduct of fee-for-service local government elections).</w:t>
      </w:r>
    </w:p>
    <w:p w:rsidR="0009212F" w:rsidRPr="0009212F" w:rsidRDefault="0009212F" w:rsidP="00047F19">
      <w:pPr>
        <w:pStyle w:val="BodyCopy"/>
        <w:spacing w:before="40" w:after="40" w:line="160" w:lineRule="atLeast"/>
        <w:rPr>
          <w:i/>
          <w:iCs/>
          <w:color w:val="404040" w:themeColor="text1" w:themeTint="BF"/>
          <w:sz w:val="18"/>
          <w:szCs w:val="18"/>
          <w:lang w:val="en-AU"/>
        </w:rPr>
      </w:pPr>
    </w:p>
    <w:p w:rsidR="0009212F" w:rsidRPr="0009212F" w:rsidRDefault="0009212F" w:rsidP="00047F19">
      <w:pPr>
        <w:pStyle w:val="BodyCopy"/>
        <w:spacing w:before="40" w:after="40" w:line="160" w:lineRule="atLeast"/>
        <w:rPr>
          <w:i/>
          <w:iCs/>
          <w:color w:val="404040" w:themeColor="text1" w:themeTint="BF"/>
          <w:sz w:val="18"/>
          <w:szCs w:val="18"/>
          <w:lang w:val="en-AU"/>
        </w:rPr>
      </w:pPr>
      <w:r w:rsidRPr="0009212F">
        <w:rPr>
          <w:i/>
          <w:iCs/>
          <w:color w:val="404040" w:themeColor="text1" w:themeTint="BF"/>
          <w:sz w:val="18"/>
          <w:szCs w:val="18"/>
          <w:lang w:val="en-AU"/>
        </w:rPr>
        <w:t>Grants, donations, gifts and other non-reciprocal contributions</w:t>
      </w:r>
    </w:p>
    <w:p w:rsidR="0009212F" w:rsidRPr="0009212F" w:rsidRDefault="0009212F" w:rsidP="00047F19">
      <w:pPr>
        <w:pStyle w:val="BodyCopy"/>
        <w:spacing w:before="40" w:after="40" w:line="160" w:lineRule="atLeast"/>
        <w:rPr>
          <w:color w:val="404040" w:themeColor="text1" w:themeTint="BF"/>
          <w:sz w:val="18"/>
          <w:szCs w:val="18"/>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Revenue is recognised at fair value when the Commission obtains control over the assets comprising the contributions, usually when cash is received.</w:t>
      </w:r>
    </w:p>
    <w:p w:rsidR="0009212F" w:rsidRPr="0009212F" w:rsidRDefault="0009212F" w:rsidP="00047F19">
      <w:pPr>
        <w:pStyle w:val="BodyCopy"/>
        <w:spacing w:before="40" w:after="40" w:line="160" w:lineRule="atLeast"/>
        <w:rPr>
          <w:color w:val="404040" w:themeColor="text1" w:themeTint="BF"/>
          <w:sz w:val="18"/>
          <w:szCs w:val="18"/>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Other non-reciprocal contributions that are not contributions by owners are recognised at their fair value. Contributions of services are only recognised when a fair value can be reliably determined and the services would be purchased if not donated.</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(f) Plant and equipment</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p>
    <w:p w:rsidR="0009212F" w:rsidRPr="0009212F" w:rsidRDefault="0009212F" w:rsidP="0009212F">
      <w:pPr>
        <w:pStyle w:val="BodyCopy"/>
        <w:tabs>
          <w:tab w:val="left" w:pos="709"/>
        </w:tabs>
        <w:spacing w:before="40" w:after="40" w:line="160" w:lineRule="atLeast"/>
        <w:ind w:left="1418" w:hanging="1418"/>
        <w:rPr>
          <w:i/>
          <w:color w:val="404040" w:themeColor="text1" w:themeTint="BF"/>
          <w:sz w:val="18"/>
          <w:szCs w:val="18"/>
          <w:lang w:val="en-AU"/>
        </w:rPr>
      </w:pPr>
      <w:r w:rsidRPr="0009212F">
        <w:rPr>
          <w:i/>
          <w:color w:val="404040" w:themeColor="text1" w:themeTint="BF"/>
          <w:sz w:val="18"/>
          <w:szCs w:val="18"/>
          <w:lang w:val="en-AU"/>
        </w:rPr>
        <w:t>Capitalisation/expensing of assets</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Items of plant and equipment costing $5,000 or more are recognised as assets and the cost of utilising assets is expensed (depreciated) over their useful lives. Items of plant and equipment costing less than $5,000 are immediately expensed direct to the Statement of Comprehensive Income (other than where they form part of a group of similar items which are significant in total).</w:t>
      </w:r>
    </w:p>
    <w:p w:rsidR="0009212F" w:rsidRDefault="0009212F" w:rsidP="00047F19">
      <w:pPr>
        <w:pStyle w:val="BodyCopy"/>
        <w:tabs>
          <w:tab w:val="left" w:pos="709"/>
        </w:tabs>
        <w:spacing w:before="40" w:after="40" w:line="160" w:lineRule="atLeast"/>
        <w:rPr>
          <w:color w:val="404040" w:themeColor="text1" w:themeTint="BF"/>
          <w:sz w:val="18"/>
          <w:szCs w:val="18"/>
          <w:lang w:val="en-AU"/>
        </w:rPr>
      </w:pPr>
    </w:p>
    <w:p w:rsidR="005049C0" w:rsidRDefault="005049C0" w:rsidP="00047F19">
      <w:pPr>
        <w:pStyle w:val="BodyCopy"/>
        <w:tabs>
          <w:tab w:val="left" w:pos="709"/>
        </w:tabs>
        <w:spacing w:before="40" w:after="40" w:line="160" w:lineRule="atLeast"/>
        <w:rPr>
          <w:color w:val="404040" w:themeColor="text1" w:themeTint="BF"/>
          <w:sz w:val="18"/>
          <w:szCs w:val="18"/>
          <w:lang w:val="en-AU"/>
        </w:rPr>
      </w:pPr>
    </w:p>
    <w:p w:rsidR="005049C0" w:rsidRPr="0009212F" w:rsidRDefault="005049C0" w:rsidP="00047F19">
      <w:pPr>
        <w:pStyle w:val="BodyCopy"/>
        <w:tabs>
          <w:tab w:val="left" w:pos="709"/>
        </w:tabs>
        <w:spacing w:before="40" w:after="40" w:line="160" w:lineRule="atLeast"/>
        <w:rPr>
          <w:color w:val="404040" w:themeColor="text1" w:themeTint="BF"/>
          <w:sz w:val="18"/>
          <w:szCs w:val="18"/>
          <w:lang w:val="en-AU"/>
        </w:rPr>
      </w:pPr>
    </w:p>
    <w:p w:rsidR="0009212F" w:rsidRPr="005049C0" w:rsidRDefault="0009212F" w:rsidP="00047F19">
      <w:pPr>
        <w:pStyle w:val="BodyCopy"/>
        <w:tabs>
          <w:tab w:val="left" w:pos="709"/>
        </w:tabs>
        <w:spacing w:before="40" w:after="40" w:line="160" w:lineRule="atLeast"/>
        <w:rPr>
          <w:i/>
          <w:color w:val="404040" w:themeColor="text1" w:themeTint="BF"/>
          <w:sz w:val="18"/>
          <w:szCs w:val="18"/>
          <w:lang w:val="en-AU"/>
        </w:rPr>
      </w:pPr>
      <w:r w:rsidRPr="0009212F">
        <w:rPr>
          <w:i/>
          <w:color w:val="404040" w:themeColor="text1" w:themeTint="BF"/>
          <w:sz w:val="18"/>
          <w:szCs w:val="18"/>
          <w:lang w:val="en-AU"/>
        </w:rPr>
        <w:lastRenderedPageBreak/>
        <w:t>Init</w:t>
      </w:r>
      <w:r w:rsidR="005049C0">
        <w:rPr>
          <w:i/>
          <w:color w:val="404040" w:themeColor="text1" w:themeTint="BF"/>
          <w:sz w:val="18"/>
          <w:szCs w:val="18"/>
          <w:lang w:val="en-AU"/>
        </w:rPr>
        <w:t>ial recognition and measurement</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Plant and equipment ar</w:t>
      </w:r>
      <w:r w:rsidR="005049C0">
        <w:rPr>
          <w:color w:val="404040" w:themeColor="text1" w:themeTint="BF"/>
          <w:sz w:val="18"/>
          <w:szCs w:val="18"/>
          <w:lang w:val="en-AU"/>
        </w:rPr>
        <w:t>e initially recognised at cost.</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For items of plant and equipment acquired at no cost or for nominal cost, the cost is the fair value at the date of acquisition.</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i/>
          <w:color w:val="404040" w:themeColor="text1" w:themeTint="BF"/>
          <w:sz w:val="18"/>
          <w:szCs w:val="18"/>
          <w:lang w:val="en-AU"/>
        </w:rPr>
      </w:pPr>
      <w:r>
        <w:rPr>
          <w:i/>
          <w:color w:val="404040" w:themeColor="text1" w:themeTint="BF"/>
          <w:sz w:val="18"/>
          <w:szCs w:val="18"/>
          <w:lang w:val="en-AU"/>
        </w:rPr>
        <w:t>Subsequent measurement</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Subsequent to initial recognition of an asset, historical cost model is used for all plant and equipment. All other items of plant and equipment are stated at historical cost less accumulated depreciation and accumulated impairment losses.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i/>
          <w:color w:val="404040" w:themeColor="text1" w:themeTint="BF"/>
          <w:sz w:val="18"/>
          <w:szCs w:val="18"/>
          <w:lang w:val="en-AU"/>
        </w:rPr>
      </w:pPr>
      <w:proofErr w:type="spellStart"/>
      <w:r>
        <w:rPr>
          <w:i/>
          <w:color w:val="404040" w:themeColor="text1" w:themeTint="BF"/>
          <w:sz w:val="18"/>
          <w:szCs w:val="18"/>
          <w:lang w:val="en-AU"/>
        </w:rPr>
        <w:t>Derecognition</w:t>
      </w:r>
      <w:proofErr w:type="spellEnd"/>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Upon disposal or </w:t>
      </w:r>
      <w:proofErr w:type="spellStart"/>
      <w:r w:rsidRPr="0009212F">
        <w:rPr>
          <w:color w:val="404040" w:themeColor="text1" w:themeTint="BF"/>
          <w:sz w:val="18"/>
          <w:szCs w:val="18"/>
          <w:lang w:val="en-AU"/>
        </w:rPr>
        <w:t>derecognition</w:t>
      </w:r>
      <w:proofErr w:type="spellEnd"/>
      <w:r w:rsidRPr="0009212F">
        <w:rPr>
          <w:color w:val="404040" w:themeColor="text1" w:themeTint="BF"/>
          <w:sz w:val="18"/>
          <w:szCs w:val="18"/>
          <w:lang w:val="en-AU"/>
        </w:rPr>
        <w:t xml:space="preserve"> of an item of plant and equipment, any revaluation surplus relating to that asset is retained in the asset revaluation surplus.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i/>
          <w:color w:val="404040" w:themeColor="text1" w:themeTint="BF"/>
          <w:sz w:val="18"/>
          <w:szCs w:val="18"/>
          <w:lang w:val="en-AU"/>
        </w:rPr>
      </w:pPr>
      <w:r>
        <w:rPr>
          <w:i/>
          <w:color w:val="404040" w:themeColor="text1" w:themeTint="BF"/>
          <w:sz w:val="18"/>
          <w:szCs w:val="18"/>
          <w:lang w:val="en-AU"/>
        </w:rPr>
        <w:t>Depreciation</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All non-current assets having a limited useful life are systematically depreciated over their estimated useful lives in a manner that reflects the consumption of their future economic benefits.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Depreciation is calculated using the straight line method, using rates which are reviewed annually. </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Estimated useful lives for each class of depreciable asset are:</w:t>
      </w:r>
    </w:p>
    <w:p w:rsidR="0009212F" w:rsidRPr="0009212F" w:rsidRDefault="0009212F" w:rsidP="00047F19">
      <w:pPr>
        <w:pStyle w:val="BodyCopy"/>
        <w:numPr>
          <w:ilvl w:val="0"/>
          <w:numId w:val="10"/>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Plant and equipment 5 to 10 years</w:t>
      </w:r>
    </w:p>
    <w:p w:rsidR="0009212F" w:rsidRDefault="0009212F" w:rsidP="00047F19">
      <w:pPr>
        <w:pStyle w:val="BodyCopy"/>
        <w:numPr>
          <w:ilvl w:val="0"/>
          <w:numId w:val="10"/>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Computer equipment 3 years</w:t>
      </w:r>
    </w:p>
    <w:p w:rsidR="005049C0" w:rsidRPr="0009212F" w:rsidRDefault="005049C0" w:rsidP="005049C0">
      <w:pPr>
        <w:pStyle w:val="BodyCopy"/>
        <w:tabs>
          <w:tab w:val="left" w:pos="709"/>
        </w:tabs>
        <w:spacing w:before="40" w:after="40" w:line="160" w:lineRule="atLeast"/>
        <w:rPr>
          <w:color w:val="404040" w:themeColor="text1" w:themeTint="BF"/>
          <w:sz w:val="18"/>
          <w:szCs w:val="18"/>
          <w:lang w:val="en-AU"/>
        </w:rPr>
      </w:pPr>
    </w:p>
    <w:p w:rsidR="005049C0" w:rsidRPr="005049C0" w:rsidRDefault="005049C0" w:rsidP="00047F19">
      <w:pPr>
        <w:pStyle w:val="BodyCopy"/>
        <w:tabs>
          <w:tab w:val="left" w:pos="709"/>
        </w:tabs>
        <w:spacing w:before="40" w:after="40" w:line="160" w:lineRule="atLeast"/>
        <w:rPr>
          <w:b/>
          <w:bCs/>
          <w:color w:val="404040" w:themeColor="text1" w:themeTint="BF"/>
          <w:sz w:val="18"/>
          <w:szCs w:val="18"/>
          <w:lang w:val="en-AU"/>
        </w:rPr>
      </w:pPr>
      <w:r>
        <w:rPr>
          <w:b/>
          <w:bCs/>
          <w:color w:val="404040" w:themeColor="text1" w:themeTint="BF"/>
          <w:sz w:val="18"/>
          <w:szCs w:val="18"/>
          <w:lang w:val="en-AU"/>
        </w:rPr>
        <w:t>(g) Intangible assets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i/>
          <w:color w:val="404040" w:themeColor="text1" w:themeTint="BF"/>
          <w:sz w:val="18"/>
          <w:szCs w:val="18"/>
          <w:lang w:val="en-AU"/>
        </w:rPr>
        <w:t>Capitalisation/expensing of assets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Acquisitions of intangible assets costing $5,000 or more and internally generated intangible assets costing $50,000 or more are capitalised. The cost of utilising the assets is expensed (amortised) over their useful lives. Costs incurred below these thresholds are immediately expensed directly to the Statement of Comprehensive Income.</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Intangible assets are initially recognised at cost. For assets acquired at no cost or for nominal cost, the cost is their fair value at the date of acquisition.</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cost model is applied for subsequent measurement requiring the asset to be carried at cost less any accumulated amortisation and accumulated impairment losses.</w:t>
      </w:r>
    </w:p>
    <w:p w:rsidR="0009212F" w:rsidRPr="0009212F" w:rsidRDefault="0009212F" w:rsidP="00047F19">
      <w:pPr>
        <w:pStyle w:val="BodyCopy"/>
        <w:tabs>
          <w:tab w:val="left" w:pos="709"/>
        </w:tabs>
        <w:spacing w:before="40" w:after="40" w:line="160" w:lineRule="atLeast"/>
        <w:rPr>
          <w:i/>
          <w:iCs/>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Amortisation for intangible assets with finite useful lives is calculated for the period of the expected benefit (estimated useful life which is reviewed annually) on the straight line basis. All intangible assets controlled by the Commission have a finite useful life and zero residual value.</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expected useful life for </w:t>
      </w:r>
      <w:proofErr w:type="gramStart"/>
      <w:r w:rsidRPr="0009212F">
        <w:rPr>
          <w:color w:val="404040" w:themeColor="text1" w:themeTint="BF"/>
          <w:sz w:val="18"/>
          <w:szCs w:val="18"/>
          <w:lang w:val="en-AU"/>
        </w:rPr>
        <w:t>software</w:t>
      </w:r>
      <w:r w:rsidRPr="0009212F">
        <w:rPr>
          <w:color w:val="404040" w:themeColor="text1" w:themeTint="BF"/>
          <w:sz w:val="18"/>
          <w:szCs w:val="18"/>
          <w:vertAlign w:val="superscript"/>
          <w:lang w:val="en-AU"/>
        </w:rPr>
        <w:t>(</w:t>
      </w:r>
      <w:proofErr w:type="gramEnd"/>
      <w:r w:rsidRPr="0009212F">
        <w:rPr>
          <w:color w:val="404040" w:themeColor="text1" w:themeTint="BF"/>
          <w:sz w:val="18"/>
          <w:szCs w:val="18"/>
          <w:vertAlign w:val="superscript"/>
          <w:lang w:val="en-AU"/>
        </w:rPr>
        <w:t>a)</w:t>
      </w:r>
      <w:r w:rsidRPr="0009212F">
        <w:rPr>
          <w:color w:val="404040" w:themeColor="text1" w:themeTint="BF"/>
          <w:sz w:val="18"/>
          <w:szCs w:val="18"/>
          <w:lang w:val="en-AU"/>
        </w:rPr>
        <w:t xml:space="preserve"> is 15 years.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numPr>
          <w:ilvl w:val="0"/>
          <w:numId w:val="13"/>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Software that is not part of the integral to the operation of any related hardware.</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i/>
          <w:color w:val="404040" w:themeColor="text1" w:themeTint="BF"/>
          <w:sz w:val="18"/>
          <w:szCs w:val="18"/>
          <w:lang w:val="en-AU"/>
        </w:rPr>
      </w:pPr>
      <w:r>
        <w:rPr>
          <w:i/>
          <w:color w:val="404040" w:themeColor="text1" w:themeTint="BF"/>
          <w:sz w:val="18"/>
          <w:szCs w:val="18"/>
          <w:lang w:val="en-AU"/>
        </w:rPr>
        <w:t>Computer software</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Software that is an integral part of the related hardware is recognised as plant and equipment. Software that is not an integral part of the related hardware is recognised as an intangible asset. Software costing less than $5,000 is expensed in the year of acquisition.</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5049C0" w:rsidP="00047F19">
      <w:pPr>
        <w:pStyle w:val="BodyCopy"/>
        <w:tabs>
          <w:tab w:val="left" w:pos="709"/>
        </w:tabs>
        <w:spacing w:before="40" w:after="40" w:line="160" w:lineRule="atLeast"/>
        <w:rPr>
          <w:b/>
          <w:bCs/>
          <w:color w:val="404040" w:themeColor="text1" w:themeTint="BF"/>
          <w:sz w:val="18"/>
          <w:szCs w:val="18"/>
          <w:lang w:val="en-AU"/>
        </w:rPr>
      </w:pPr>
      <w:r>
        <w:rPr>
          <w:b/>
          <w:bCs/>
          <w:color w:val="404040" w:themeColor="text1" w:themeTint="BF"/>
          <w:sz w:val="18"/>
          <w:szCs w:val="18"/>
          <w:lang w:val="en-AU"/>
        </w:rPr>
        <w:t>(h) Impairment of assets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Plant and equipment and intangible assets are tested for any indication of impairment at the end of each reporting period. Where there is an indication of impairment, the recoverable amount is estimated. Where the recoverable amount is less than the carrying amount, the asset is considered impaired and is written down to the recoverable amount and an impairment loss is recognised. Where an asset measured at cost is written down to recoverable amount, an impairment loss is recognised in profit or loss. Where a previously revalued asset is written down to recoverable amount, the loss is recognised as a revaluation decrement in other comprehensive income. As the Commission is a not-for-profit entity, unless a specialised asset has been identified as a surplus asset, the recoverable amount is the higher of an asset’s fair value less costs to sell and depreciated replacement cost.</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risk of impairment is generally limited to circumstances where an asset’s depreciation is materially understated, where the replacement cost is falling or where there is a significant change in useful life. Each relevant class of assets is reviewed annually to verify that the accumulated depreciation/amortisation reflects the level of consumption or expiration of the asset’s future economic benefits and to evaluate any impairment risk from falling replacement costs.</w:t>
      </w:r>
    </w:p>
    <w:p w:rsidR="0009212F" w:rsidRPr="0009212F" w:rsidRDefault="0009212F" w:rsidP="00047F19">
      <w:pPr>
        <w:pStyle w:val="BodyCopy"/>
        <w:tabs>
          <w:tab w:val="left" w:pos="709"/>
        </w:tabs>
        <w:spacing w:before="40" w:after="40" w:line="160" w:lineRule="atLeast"/>
        <w:rPr>
          <w:i/>
          <w:iCs/>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Intangible assets with an indefinite useful life and intangible assets not yet available for use are tested for impairment at the end of each reporting period irrespective of whether there is any indication of impairment.</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b/>
          <w:bCs/>
          <w:color w:val="404040" w:themeColor="text1" w:themeTint="BF"/>
          <w:sz w:val="18"/>
          <w:szCs w:val="18"/>
          <w:lang w:val="en-AU"/>
        </w:rPr>
      </w:pPr>
      <w:r>
        <w:rPr>
          <w:b/>
          <w:bCs/>
          <w:color w:val="404040" w:themeColor="text1" w:themeTint="BF"/>
          <w:sz w:val="18"/>
          <w:szCs w:val="18"/>
          <w:lang w:val="en-AU"/>
        </w:rPr>
        <w:lastRenderedPageBreak/>
        <w:t>(</w:t>
      </w:r>
      <w:proofErr w:type="spellStart"/>
      <w:r>
        <w:rPr>
          <w:b/>
          <w:bCs/>
          <w:color w:val="404040" w:themeColor="text1" w:themeTint="BF"/>
          <w:sz w:val="18"/>
          <w:szCs w:val="18"/>
          <w:lang w:val="en-AU"/>
        </w:rPr>
        <w:t>i</w:t>
      </w:r>
      <w:proofErr w:type="spellEnd"/>
      <w:r>
        <w:rPr>
          <w:b/>
          <w:bCs/>
          <w:color w:val="404040" w:themeColor="text1" w:themeTint="BF"/>
          <w:sz w:val="18"/>
          <w:szCs w:val="18"/>
          <w:lang w:val="en-AU"/>
        </w:rPr>
        <w:t>) Leases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Commission holds operating leases for head office accommodation and motor vehicles. </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Operating leases are expensed on a straight line basis over the lease term as this represents the pattern of benefits derived from the leased properties. </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b/>
          <w:bCs/>
          <w:color w:val="404040" w:themeColor="text1" w:themeTint="BF"/>
          <w:sz w:val="18"/>
          <w:szCs w:val="18"/>
          <w:lang w:val="en-AU"/>
        </w:rPr>
        <w:t>(j) Financial instruments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In addition to cash, the Commission has two categories of financial instrument:</w:t>
      </w:r>
    </w:p>
    <w:p w:rsidR="0009212F" w:rsidRPr="0009212F" w:rsidRDefault="0009212F" w:rsidP="00047F19">
      <w:pPr>
        <w:pStyle w:val="BodyCopy"/>
        <w:numPr>
          <w:ilvl w:val="0"/>
          <w:numId w:val="11"/>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Receivables; and</w:t>
      </w:r>
    </w:p>
    <w:p w:rsidR="0009212F" w:rsidRPr="0009212F" w:rsidRDefault="0009212F" w:rsidP="00047F19">
      <w:pPr>
        <w:pStyle w:val="BodyCopy"/>
        <w:numPr>
          <w:ilvl w:val="0"/>
          <w:numId w:val="11"/>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Financial liabilities measured at amortised cost</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Financial instruments have been disaggrega</w:t>
      </w:r>
      <w:r w:rsidR="005049C0">
        <w:rPr>
          <w:color w:val="404040" w:themeColor="text1" w:themeTint="BF"/>
          <w:sz w:val="18"/>
          <w:szCs w:val="18"/>
          <w:lang w:val="en-AU"/>
        </w:rPr>
        <w:t>ted into the following classes:</w:t>
      </w:r>
    </w:p>
    <w:p w:rsidR="0009212F" w:rsidRPr="0009212F" w:rsidRDefault="0009212F" w:rsidP="00047F19">
      <w:pPr>
        <w:pStyle w:val="BodyCopy"/>
        <w:numPr>
          <w:ilvl w:val="0"/>
          <w:numId w:val="12"/>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Financial Assets</w:t>
      </w:r>
    </w:p>
    <w:p w:rsidR="0009212F" w:rsidRPr="0009212F" w:rsidRDefault="0009212F" w:rsidP="00047F19">
      <w:pPr>
        <w:pStyle w:val="BodyCopy"/>
        <w:numPr>
          <w:ilvl w:val="0"/>
          <w:numId w:val="14"/>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Cash and cash equivalents</w:t>
      </w:r>
    </w:p>
    <w:p w:rsidR="0009212F" w:rsidRPr="0009212F" w:rsidRDefault="0009212F" w:rsidP="00047F19">
      <w:pPr>
        <w:pStyle w:val="BodyCopy"/>
        <w:numPr>
          <w:ilvl w:val="0"/>
          <w:numId w:val="14"/>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Restricted cash and cash equivalents</w:t>
      </w:r>
    </w:p>
    <w:p w:rsidR="0009212F" w:rsidRPr="0009212F" w:rsidRDefault="0009212F" w:rsidP="00047F19">
      <w:pPr>
        <w:pStyle w:val="BodyCopy"/>
        <w:numPr>
          <w:ilvl w:val="0"/>
          <w:numId w:val="14"/>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Receivables</w:t>
      </w:r>
    </w:p>
    <w:p w:rsidR="0009212F" w:rsidRPr="0009212F" w:rsidRDefault="0009212F" w:rsidP="00047F19">
      <w:pPr>
        <w:pStyle w:val="BodyCopy"/>
        <w:numPr>
          <w:ilvl w:val="0"/>
          <w:numId w:val="14"/>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Amounts receivable for services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numPr>
          <w:ilvl w:val="0"/>
          <w:numId w:val="12"/>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Financial Liabilities</w:t>
      </w:r>
    </w:p>
    <w:p w:rsidR="0009212F" w:rsidRPr="0009212F" w:rsidRDefault="0009212F" w:rsidP="00047F19">
      <w:pPr>
        <w:pStyle w:val="BodyCopy"/>
        <w:numPr>
          <w:ilvl w:val="0"/>
          <w:numId w:val="14"/>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Payables</w:t>
      </w:r>
    </w:p>
    <w:p w:rsidR="0009212F" w:rsidRPr="0009212F" w:rsidRDefault="0009212F" w:rsidP="00047F19">
      <w:pPr>
        <w:pStyle w:val="BodyCopy"/>
        <w:numPr>
          <w:ilvl w:val="0"/>
          <w:numId w:val="14"/>
        </w:numPr>
        <w:tabs>
          <w:tab w:val="left" w:pos="709"/>
        </w:tabs>
        <w:spacing w:before="40" w:after="40" w:line="160" w:lineRule="atLeast"/>
        <w:ind w:left="0" w:firstLine="0"/>
        <w:rPr>
          <w:color w:val="404040" w:themeColor="text1" w:themeTint="BF"/>
          <w:sz w:val="18"/>
          <w:szCs w:val="18"/>
          <w:lang w:val="en-AU"/>
        </w:rPr>
      </w:pPr>
      <w:r w:rsidRPr="0009212F">
        <w:rPr>
          <w:color w:val="404040" w:themeColor="text1" w:themeTint="BF"/>
          <w:sz w:val="18"/>
          <w:szCs w:val="18"/>
          <w:lang w:val="en-AU"/>
        </w:rPr>
        <w:t>Other liabilities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Initial recognition and measurement of financial instruments is at fair value which normally equates to the transaction cost or the face value. Subsequent measurement is at amortised cost using the effective interest method.</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fair value of short-term receivables and payables is the transaction cost or the face value because there is no interest rate applicable and subsequent measurement is not required as the effect of discounting is not material.</w:t>
      </w:r>
    </w:p>
    <w:p w:rsidR="0009212F" w:rsidRPr="0009212F" w:rsidRDefault="0009212F" w:rsidP="00047F19">
      <w:pPr>
        <w:pStyle w:val="BodyCopy"/>
        <w:tabs>
          <w:tab w:val="left" w:pos="709"/>
        </w:tabs>
        <w:spacing w:before="40" w:after="40" w:line="160" w:lineRule="atLeast"/>
        <w:rPr>
          <w:i/>
          <w:iCs/>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b/>
          <w:bCs/>
          <w:color w:val="404040" w:themeColor="text1" w:themeTint="BF"/>
          <w:sz w:val="18"/>
          <w:szCs w:val="18"/>
          <w:lang w:val="en-AU"/>
        </w:rPr>
      </w:pPr>
      <w:r>
        <w:rPr>
          <w:b/>
          <w:bCs/>
          <w:color w:val="404040" w:themeColor="text1" w:themeTint="BF"/>
          <w:sz w:val="18"/>
          <w:szCs w:val="18"/>
          <w:lang w:val="en-AU"/>
        </w:rPr>
        <w:t>(k) Cash and cash equivalents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For the purpose of the Statement of Cash Flows, cash and cash equivalent (and restricted cash and cash equivalent) assets comprise cash on hand which is subject to insignificant risk of changes in value.</w:t>
      </w:r>
    </w:p>
    <w:p w:rsidR="0009212F" w:rsidRPr="0009212F" w:rsidRDefault="0009212F" w:rsidP="00047F19">
      <w:pPr>
        <w:pStyle w:val="BodyCopy"/>
        <w:tabs>
          <w:tab w:val="left" w:pos="709"/>
        </w:tabs>
        <w:spacing w:before="40" w:after="40" w:line="160" w:lineRule="atLeast"/>
        <w:rPr>
          <w:b/>
          <w:bCs/>
          <w:color w:val="404040" w:themeColor="text1" w:themeTint="BF"/>
          <w:sz w:val="18"/>
          <w:szCs w:val="18"/>
          <w:lang w:val="en-AU"/>
        </w:rPr>
      </w:pPr>
    </w:p>
    <w:p w:rsidR="0009212F" w:rsidRPr="0009212F" w:rsidRDefault="005049C0" w:rsidP="00047F19">
      <w:pPr>
        <w:pStyle w:val="BodyCopy"/>
        <w:tabs>
          <w:tab w:val="left" w:pos="709"/>
        </w:tabs>
        <w:spacing w:before="40" w:after="40" w:line="160" w:lineRule="atLeast"/>
        <w:rPr>
          <w:b/>
          <w:bCs/>
          <w:color w:val="404040" w:themeColor="text1" w:themeTint="BF"/>
          <w:sz w:val="18"/>
          <w:szCs w:val="18"/>
          <w:lang w:val="en-AU"/>
        </w:rPr>
      </w:pPr>
      <w:r>
        <w:rPr>
          <w:b/>
          <w:bCs/>
          <w:color w:val="404040" w:themeColor="text1" w:themeTint="BF"/>
          <w:sz w:val="18"/>
          <w:szCs w:val="18"/>
          <w:lang w:val="en-AU"/>
        </w:rPr>
        <w:t>(l) Accrued salaries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Accrued salaries (see note 20 ‘Payables’) represent the amount due to staff but unpaid at the end of the financial year. Accrued salaries are settled within a fortnight of the financial year end. The Commission considers the carrying amount of accrued salaries to be equivalent to its fair value.</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accrued salaries suspense account (see notes 14, 24 ‘Restricted cash and cash equivalent’) consist of amounts paid annually into a suspense account over a period of 10 financial years to largely meet the additional cash outflow in each eleventh year when 27 pay days occur instead of the normal 26. No interest is received on this account. </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5049C0" w:rsidRDefault="0009212F" w:rsidP="00047F19">
      <w:pPr>
        <w:pStyle w:val="BodyCopy"/>
        <w:tabs>
          <w:tab w:val="left" w:pos="709"/>
        </w:tabs>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(m) Amounts receivable</w:t>
      </w:r>
      <w:r w:rsidR="005049C0">
        <w:rPr>
          <w:b/>
          <w:bCs/>
          <w:color w:val="404040" w:themeColor="text1" w:themeTint="BF"/>
          <w:sz w:val="18"/>
          <w:szCs w:val="18"/>
          <w:lang w:val="en-AU"/>
        </w:rPr>
        <w:t xml:space="preserve"> for services (holding account)</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Commission receives funding on an accrual basis. The appropriations are paid partly in cash and partly as an asset (holding account receivable). The accrued amount receivable is accessible on the emergence of the cash funding requirement to cover leave entitlements and asset replacement. </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i/>
          <w:color w:val="404040" w:themeColor="text1" w:themeTint="BF"/>
          <w:sz w:val="18"/>
          <w:szCs w:val="18"/>
          <w:lang w:val="en-AU"/>
        </w:rPr>
        <w:t>See also note 13 ‘Income from State Government’ and note 16 ‘Amount Receivable for services’</w:t>
      </w:r>
      <w:r w:rsidRPr="0009212F">
        <w:rPr>
          <w:color w:val="404040" w:themeColor="text1" w:themeTint="BF"/>
          <w:sz w:val="18"/>
          <w:szCs w:val="18"/>
          <w:lang w:val="en-AU"/>
        </w:rPr>
        <w:t>.</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b/>
          <w:bCs/>
          <w:color w:val="404040" w:themeColor="text1" w:themeTint="BF"/>
          <w:sz w:val="18"/>
          <w:szCs w:val="18"/>
          <w:lang w:val="en-AU"/>
        </w:rPr>
      </w:pPr>
      <w:r>
        <w:rPr>
          <w:b/>
          <w:bCs/>
          <w:color w:val="404040" w:themeColor="text1" w:themeTint="BF"/>
          <w:sz w:val="18"/>
          <w:szCs w:val="18"/>
          <w:lang w:val="en-AU"/>
        </w:rPr>
        <w:t>(n) Receivables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Receivables are recognised at original invoice amount less an allowance for any uncollectible amounts (i.e. impairment). The collectability of receivables is reviewed on an ongoing basis and any receivables identified as uncollectible are written-off against the allowance account. The allowance for uncollectible amounts (doubtful debts) is raised when there is objective evidence that the Commission will not be able to collect the debts. The carrying amount is equivalent to fair value as it is due for settlement within 30 days.</w:t>
      </w:r>
    </w:p>
    <w:p w:rsidR="0009212F" w:rsidRPr="0009212F" w:rsidRDefault="0009212F" w:rsidP="00047F19">
      <w:pPr>
        <w:pStyle w:val="BodyCopy"/>
        <w:tabs>
          <w:tab w:val="left" w:pos="709"/>
        </w:tabs>
        <w:spacing w:before="40" w:after="40" w:line="160" w:lineRule="atLeast"/>
        <w:rPr>
          <w:i/>
          <w:color w:val="404040" w:themeColor="text1" w:themeTint="BF"/>
          <w:sz w:val="18"/>
          <w:szCs w:val="18"/>
          <w:lang w:val="en-AU"/>
        </w:rPr>
      </w:pPr>
      <w:r w:rsidRPr="0009212F">
        <w:rPr>
          <w:i/>
          <w:color w:val="404040" w:themeColor="text1" w:themeTint="BF"/>
          <w:sz w:val="18"/>
          <w:szCs w:val="18"/>
          <w:lang w:val="en-AU"/>
        </w:rPr>
        <w:t>See note 29 ’Financial Instruments’ and note 15 ‘Receivables’.</w:t>
      </w:r>
    </w:p>
    <w:p w:rsidR="0009212F" w:rsidRPr="0009212F" w:rsidRDefault="0009212F" w:rsidP="00047F19">
      <w:pPr>
        <w:pStyle w:val="BodyCopy"/>
        <w:tabs>
          <w:tab w:val="left" w:pos="709"/>
        </w:tabs>
        <w:spacing w:before="40" w:after="40" w:line="160" w:lineRule="atLeast"/>
        <w:rPr>
          <w:i/>
          <w:color w:val="404040" w:themeColor="text1" w:themeTint="BF"/>
          <w:sz w:val="18"/>
          <w:szCs w:val="18"/>
          <w:lang w:val="en-AU"/>
        </w:rPr>
      </w:pPr>
    </w:p>
    <w:p w:rsidR="0009212F" w:rsidRPr="005049C0" w:rsidRDefault="0009212F" w:rsidP="00047F19">
      <w:pPr>
        <w:pStyle w:val="BodyCopy"/>
        <w:tabs>
          <w:tab w:val="left" w:pos="709"/>
        </w:tabs>
        <w:spacing w:before="40" w:after="40" w:line="160" w:lineRule="atLeast"/>
        <w:rPr>
          <w:i/>
          <w:color w:val="404040" w:themeColor="text1" w:themeTint="BF"/>
          <w:sz w:val="18"/>
          <w:szCs w:val="18"/>
          <w:lang w:val="en-AU"/>
        </w:rPr>
      </w:pPr>
      <w:r w:rsidRPr="0009212F">
        <w:rPr>
          <w:b/>
          <w:bCs/>
          <w:color w:val="404040" w:themeColor="text1" w:themeTint="BF"/>
          <w:sz w:val="18"/>
          <w:szCs w:val="18"/>
          <w:lang w:val="en-AU"/>
        </w:rPr>
        <w:t>(o) Payables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Payables are recognised at the amounts payable when the Commission becomes obliged to make future payments as a result of a purchase of assets or services. The carrying amount is equivalent to fair value, as settlement is generally within 30 days.</w:t>
      </w:r>
    </w:p>
    <w:p w:rsidR="0009212F" w:rsidRDefault="0009212F" w:rsidP="00047F19">
      <w:pPr>
        <w:pStyle w:val="BodyCopy"/>
        <w:tabs>
          <w:tab w:val="left" w:pos="709"/>
        </w:tabs>
        <w:spacing w:before="40" w:after="40" w:line="160" w:lineRule="atLeast"/>
        <w:rPr>
          <w:i/>
          <w:color w:val="404040" w:themeColor="text1" w:themeTint="BF"/>
          <w:sz w:val="18"/>
          <w:szCs w:val="18"/>
          <w:lang w:val="en-AU"/>
        </w:rPr>
      </w:pPr>
      <w:r w:rsidRPr="0009212F">
        <w:rPr>
          <w:i/>
          <w:color w:val="404040" w:themeColor="text1" w:themeTint="BF"/>
          <w:sz w:val="18"/>
          <w:szCs w:val="18"/>
          <w:lang w:val="en-AU"/>
        </w:rPr>
        <w:t>See note 29 ‘Financial Instr</w:t>
      </w:r>
      <w:r w:rsidR="005049C0">
        <w:rPr>
          <w:i/>
          <w:color w:val="404040" w:themeColor="text1" w:themeTint="BF"/>
          <w:sz w:val="18"/>
          <w:szCs w:val="18"/>
          <w:lang w:val="en-AU"/>
        </w:rPr>
        <w:t>uments’ and note 20 ‘Payables’.</w:t>
      </w:r>
    </w:p>
    <w:p w:rsidR="005049C0" w:rsidRDefault="005049C0" w:rsidP="00047F19">
      <w:pPr>
        <w:pStyle w:val="BodyCopy"/>
        <w:tabs>
          <w:tab w:val="left" w:pos="709"/>
        </w:tabs>
        <w:spacing w:before="40" w:after="40" w:line="160" w:lineRule="atLeast"/>
        <w:rPr>
          <w:i/>
          <w:color w:val="404040" w:themeColor="text1" w:themeTint="BF"/>
          <w:sz w:val="18"/>
          <w:szCs w:val="18"/>
          <w:lang w:val="en-AU"/>
        </w:rPr>
      </w:pPr>
    </w:p>
    <w:p w:rsidR="005049C0" w:rsidRDefault="005049C0" w:rsidP="00047F19">
      <w:pPr>
        <w:pStyle w:val="BodyCopy"/>
        <w:tabs>
          <w:tab w:val="left" w:pos="709"/>
        </w:tabs>
        <w:spacing w:before="40" w:after="40" w:line="160" w:lineRule="atLeast"/>
        <w:rPr>
          <w:i/>
          <w:color w:val="404040" w:themeColor="text1" w:themeTint="BF"/>
          <w:sz w:val="18"/>
          <w:szCs w:val="18"/>
          <w:lang w:val="en-AU"/>
        </w:rPr>
      </w:pPr>
    </w:p>
    <w:p w:rsidR="005049C0" w:rsidRPr="005049C0" w:rsidRDefault="005049C0" w:rsidP="00047F19">
      <w:pPr>
        <w:pStyle w:val="BodyCopy"/>
        <w:tabs>
          <w:tab w:val="left" w:pos="709"/>
        </w:tabs>
        <w:spacing w:before="40" w:after="40" w:line="160" w:lineRule="atLeast"/>
        <w:rPr>
          <w:i/>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b/>
          <w:bCs/>
          <w:color w:val="404040" w:themeColor="text1" w:themeTint="BF"/>
          <w:sz w:val="18"/>
          <w:szCs w:val="18"/>
          <w:lang w:val="en-AU"/>
        </w:rPr>
      </w:pPr>
      <w:r>
        <w:rPr>
          <w:b/>
          <w:bCs/>
          <w:color w:val="404040" w:themeColor="text1" w:themeTint="BF"/>
          <w:sz w:val="18"/>
          <w:szCs w:val="18"/>
          <w:lang w:val="en-AU"/>
        </w:rPr>
        <w:lastRenderedPageBreak/>
        <w:t>(p) Provisions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Provisions are liabilities of uncertain timing or amount and are recognised where there is a present legal or constructive obligation as a result of a past event and when the outflow of resources embodying economic benefits is probable and a reliable estimate can be made of the amount of the obligation. Provisions are reviewed at the end of each reporting period.</w:t>
      </w:r>
    </w:p>
    <w:p w:rsidR="0009212F" w:rsidRPr="0009212F" w:rsidRDefault="0009212F" w:rsidP="00047F19">
      <w:pPr>
        <w:pStyle w:val="BodyCopy"/>
        <w:tabs>
          <w:tab w:val="left" w:pos="709"/>
        </w:tabs>
        <w:spacing w:before="40" w:after="40" w:line="160" w:lineRule="atLeast"/>
        <w:rPr>
          <w:i/>
          <w:color w:val="404040" w:themeColor="text1" w:themeTint="BF"/>
          <w:sz w:val="18"/>
          <w:szCs w:val="18"/>
          <w:lang w:val="en-AU"/>
        </w:rPr>
      </w:pPr>
      <w:r w:rsidRPr="0009212F">
        <w:rPr>
          <w:i/>
          <w:color w:val="404040" w:themeColor="text1" w:themeTint="BF"/>
          <w:sz w:val="18"/>
          <w:szCs w:val="18"/>
          <w:lang w:val="en-AU"/>
        </w:rPr>
        <w:t>See note 21 ‘Provisions’.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5049C0" w:rsidP="00047F19">
      <w:pPr>
        <w:pStyle w:val="BodyCopy"/>
        <w:tabs>
          <w:tab w:val="left" w:pos="709"/>
        </w:tabs>
        <w:spacing w:before="40" w:after="40" w:line="160" w:lineRule="atLeast"/>
        <w:rPr>
          <w:color w:val="404040" w:themeColor="text1" w:themeTint="BF"/>
          <w:sz w:val="18"/>
          <w:szCs w:val="18"/>
          <w:u w:val="single"/>
          <w:lang w:val="en-AU"/>
        </w:rPr>
      </w:pPr>
      <w:r>
        <w:rPr>
          <w:color w:val="404040" w:themeColor="text1" w:themeTint="BF"/>
          <w:sz w:val="18"/>
          <w:szCs w:val="18"/>
          <w:u w:val="single"/>
          <w:lang w:val="en-AU"/>
        </w:rPr>
        <w:t>Provisions - employee benefits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All annual leave and long service leave provisions are in respect of employees’ services up to the end of the reporting period.</w:t>
      </w:r>
    </w:p>
    <w:p w:rsidR="0009212F" w:rsidRPr="0009212F" w:rsidRDefault="0009212F" w:rsidP="00047F19">
      <w:pPr>
        <w:pStyle w:val="BodyCopy"/>
        <w:tabs>
          <w:tab w:val="left" w:pos="709"/>
        </w:tabs>
        <w:spacing w:before="40" w:after="40" w:line="160" w:lineRule="atLeast"/>
        <w:rPr>
          <w:i/>
          <w:iCs/>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i/>
          <w:iCs/>
          <w:color w:val="404040" w:themeColor="text1" w:themeTint="BF"/>
          <w:sz w:val="18"/>
          <w:szCs w:val="18"/>
          <w:lang w:val="en-AU"/>
        </w:rPr>
      </w:pPr>
      <w:r>
        <w:rPr>
          <w:i/>
          <w:iCs/>
          <w:color w:val="404040" w:themeColor="text1" w:themeTint="BF"/>
          <w:sz w:val="18"/>
          <w:szCs w:val="18"/>
          <w:lang w:val="en-AU"/>
        </w:rPr>
        <w:t>Annual leave</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Annual leave is not expected to be settled wholly within 12 months after the end of the reporting period and is therefore considered to be ‘other long</w:t>
      </w:r>
      <w:r w:rsidRPr="0009212F">
        <w:rPr>
          <w:color w:val="404040" w:themeColor="text1" w:themeTint="BF"/>
          <w:sz w:val="18"/>
          <w:szCs w:val="18"/>
          <w:lang w:val="en-AU"/>
        </w:rPr>
        <w:noBreakHyphen/>
        <w:t xml:space="preserve">term employee benefits’.   The annual leave liability is recognised and measured at the present value of amounts expected to be paid when the liabilities are settled using the remuneration rate expected to apply at the time of settlement. </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When assessing expected future payments consideration is given to expected future wage and salary levels including non-salary components such as employer superannuation contributions, as well as the experience of employee departures and periods of service. The expected future payments are discounted using market yields at the end of the reporting period on national government bonds with terms to maturity that match, as closely as possible, the estimated future cash outflows.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provision for annual leave is classified as a current liability as the Commission does not have an unconditional right to defer settlement of the liability for at least 12 months after the end of the reporting period.</w:t>
      </w:r>
    </w:p>
    <w:p w:rsidR="0009212F" w:rsidRPr="0009212F" w:rsidRDefault="0009212F" w:rsidP="00047F19">
      <w:pPr>
        <w:pStyle w:val="BodyCopy"/>
        <w:tabs>
          <w:tab w:val="left" w:pos="709"/>
        </w:tabs>
        <w:spacing w:before="40" w:after="40" w:line="160" w:lineRule="atLeast"/>
        <w:rPr>
          <w:i/>
          <w:iCs/>
          <w:color w:val="404040" w:themeColor="text1" w:themeTint="BF"/>
          <w:sz w:val="18"/>
          <w:szCs w:val="18"/>
          <w:lang w:val="en-AU"/>
        </w:rPr>
      </w:pPr>
    </w:p>
    <w:p w:rsidR="0009212F" w:rsidRPr="0009212F" w:rsidRDefault="005049C0" w:rsidP="00047F19">
      <w:pPr>
        <w:pStyle w:val="BodyCopy"/>
        <w:tabs>
          <w:tab w:val="left" w:pos="709"/>
        </w:tabs>
        <w:spacing w:before="40" w:after="40" w:line="160" w:lineRule="atLeast"/>
        <w:rPr>
          <w:i/>
          <w:iCs/>
          <w:color w:val="404040" w:themeColor="text1" w:themeTint="BF"/>
          <w:sz w:val="18"/>
          <w:szCs w:val="18"/>
          <w:lang w:val="en-AU"/>
        </w:rPr>
      </w:pPr>
      <w:r>
        <w:rPr>
          <w:i/>
          <w:iCs/>
          <w:color w:val="404040" w:themeColor="text1" w:themeTint="BF"/>
          <w:sz w:val="18"/>
          <w:szCs w:val="18"/>
          <w:lang w:val="en-AU"/>
        </w:rPr>
        <w:t>Long service leave</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Long service leave is not expected to be settled wholly within 12 months after the end of the reporting period and is therefore recognised and measured at the present value of amounts expected to be paid when the liabilities are settled using the remuneration rate expected to apply at the time of settlement.</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When assessing expected future payments consideration is given to expected future wage and salary levels including non-salary components such as employer superannuation contributions, as well as the experience of employee departures and periods of service. The expected future payments are discounted using market yields at the end of the reporting period on national government bonds with terms to maturity that match, as closely as possible, the estimated future cash outflows.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Unconditional long service leave provisions are classified as current liabilities as the Commission does not have an unconditional right to defer settlement of the liability for at least 12 months after the end of the reporting period. Pre-conditional and conditional long service leave provisions are classified as non-current liabilities because the Commission has an unconditional right to defer the settlement of the liability until the employee has completed the requisite years of service.</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i/>
          <w:iCs/>
          <w:color w:val="404040" w:themeColor="text1" w:themeTint="BF"/>
          <w:sz w:val="18"/>
          <w:szCs w:val="18"/>
          <w:lang w:val="en-AU"/>
        </w:rPr>
      </w:pPr>
      <w:r w:rsidRPr="0009212F">
        <w:rPr>
          <w:i/>
          <w:iCs/>
          <w:color w:val="404040" w:themeColor="text1" w:themeTint="BF"/>
          <w:sz w:val="18"/>
          <w:szCs w:val="18"/>
          <w:lang w:val="en-AU"/>
        </w:rPr>
        <w:t>Superannuation</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Government Employees Superannuation Board (GESB) and other fund providers administer public sector superannuation arrangements in Western Australia in accordance with legislative requirements. Eligibility criteria for membership in particular schemes for public sector employees vary according to commencement and implementation dates.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Eligible employees contribute to the Pension Scheme, a defined benefit pension scheme closed to new members since 1987, or the Gold State Superannuation Scheme (GSS), a defined benefit lump sum scheme closed to new members since 1995.</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Employees commencing employment prior to 16 April 2007 who were not members of either the Pension Scheme or the GSS became non</w:t>
      </w:r>
      <w:r w:rsidRPr="0009212F">
        <w:rPr>
          <w:color w:val="404040" w:themeColor="text1" w:themeTint="BF"/>
          <w:sz w:val="18"/>
          <w:szCs w:val="18"/>
          <w:lang w:val="en-AU"/>
        </w:rPr>
        <w:noBreakHyphen/>
        <w:t xml:space="preserve">contributory members of the West State Superannuation Scheme (WSS). Employees commencing employment on or after 16 April 2007 became members of the GESB Super Scheme (GESBS). From 30 March 2012, existing members of the WSS or GESBS and new employees have been able to choose their preferred superannuation fund provider. The Commission makes contributions to GESB or other fund providers on behalf of employees in compliance with the </w:t>
      </w:r>
      <w:r w:rsidRPr="0009212F">
        <w:rPr>
          <w:i/>
          <w:color w:val="404040" w:themeColor="text1" w:themeTint="BF"/>
          <w:sz w:val="18"/>
          <w:szCs w:val="18"/>
          <w:lang w:val="en-AU"/>
        </w:rPr>
        <w:t>Commonwealth Government’s Superannuation Guarantee (Administration) Act 1992</w:t>
      </w:r>
      <w:r w:rsidRPr="0009212F">
        <w:rPr>
          <w:color w:val="404040" w:themeColor="text1" w:themeTint="BF"/>
          <w:sz w:val="18"/>
          <w:szCs w:val="18"/>
          <w:lang w:val="en-AU"/>
        </w:rPr>
        <w:t>. Contributions to these accumulation schemes extinguish the Commission’s liability for superannuation charges in respect of employees who are not members of the Pension Scheme or GSS.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GSS is a defined benefit scheme for the purposes of employees and whole</w:t>
      </w:r>
      <w:r w:rsidRPr="0009212F">
        <w:rPr>
          <w:color w:val="404040" w:themeColor="text1" w:themeTint="BF"/>
          <w:sz w:val="18"/>
          <w:szCs w:val="18"/>
          <w:lang w:val="en-AU"/>
        </w:rPr>
        <w:noBreakHyphen/>
        <w:t>of</w:t>
      </w:r>
      <w:r w:rsidRPr="0009212F">
        <w:rPr>
          <w:color w:val="404040" w:themeColor="text1" w:themeTint="BF"/>
          <w:sz w:val="18"/>
          <w:szCs w:val="18"/>
          <w:lang w:val="en-AU"/>
        </w:rPr>
        <w:noBreakHyphen/>
        <w:t>government reporting. However, it is a defined contribution plan for agency purposes because the concurrent contributions (defined contributions) made by the Commission to GESB extinguishes the agency’s obligations to the related superannuation liability.</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Commission has no liabilities under the Pension Scheme or the GSS. The liabilities for the unfunded Pension Scheme and the unfunded GSS transfer benefits attributable to members who transferred from the Pension Scheme, are assumed by the Treasurer. All other GSS obligations are funded by concurrent contributions made by the Commission to the GESB.</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GESB makes all benefit payments in respect of the Pension Scheme and GSS, and is recouped from the Treasurer for the employer’s share.</w:t>
      </w:r>
    </w:p>
    <w:p w:rsidR="0009212F" w:rsidRPr="0009212F" w:rsidRDefault="0009212F" w:rsidP="00047F19">
      <w:pPr>
        <w:pStyle w:val="BodyCopy"/>
        <w:tabs>
          <w:tab w:val="left" w:pos="709"/>
        </w:tabs>
        <w:spacing w:before="40" w:after="40" w:line="160" w:lineRule="atLeast"/>
        <w:rPr>
          <w:i/>
          <w:color w:val="404040" w:themeColor="text1" w:themeTint="BF"/>
          <w:sz w:val="18"/>
          <w:szCs w:val="18"/>
          <w:lang w:val="en-AU"/>
        </w:rPr>
      </w:pPr>
      <w:r w:rsidRPr="0009212F">
        <w:rPr>
          <w:i/>
          <w:color w:val="404040" w:themeColor="text1" w:themeTint="BF"/>
          <w:sz w:val="18"/>
          <w:szCs w:val="18"/>
          <w:lang w:val="en-AU"/>
        </w:rPr>
        <w:t xml:space="preserve">See also note 2(q) ‘Superannuation expense’.  </w:t>
      </w:r>
    </w:p>
    <w:p w:rsidR="0009212F" w:rsidRDefault="0009212F" w:rsidP="00047F19">
      <w:pPr>
        <w:pStyle w:val="BodyCopy"/>
        <w:tabs>
          <w:tab w:val="left" w:pos="709"/>
        </w:tabs>
        <w:spacing w:before="40" w:after="40" w:line="160" w:lineRule="atLeast"/>
        <w:rPr>
          <w:color w:val="404040" w:themeColor="text1" w:themeTint="BF"/>
          <w:sz w:val="18"/>
          <w:szCs w:val="18"/>
          <w:lang w:val="en-AU"/>
        </w:rPr>
      </w:pPr>
    </w:p>
    <w:p w:rsidR="005049C0" w:rsidRPr="0009212F" w:rsidRDefault="005049C0"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u w:val="single"/>
          <w:lang w:val="en-AU"/>
        </w:rPr>
      </w:pPr>
      <w:r w:rsidRPr="0009212F">
        <w:rPr>
          <w:color w:val="404040" w:themeColor="text1" w:themeTint="BF"/>
          <w:sz w:val="18"/>
          <w:szCs w:val="18"/>
          <w:u w:val="single"/>
          <w:lang w:val="en-AU"/>
        </w:rPr>
        <w:lastRenderedPageBreak/>
        <w:t>Provisions – other</w:t>
      </w:r>
    </w:p>
    <w:p w:rsidR="0009212F" w:rsidRPr="0009212F" w:rsidRDefault="0009212F" w:rsidP="00047F19">
      <w:pPr>
        <w:pStyle w:val="BodyCopy"/>
        <w:tabs>
          <w:tab w:val="left" w:pos="709"/>
        </w:tabs>
        <w:spacing w:before="40" w:after="40" w:line="160" w:lineRule="atLeast"/>
        <w:rPr>
          <w:i/>
          <w:iCs/>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i/>
          <w:iCs/>
          <w:color w:val="404040" w:themeColor="text1" w:themeTint="BF"/>
          <w:sz w:val="18"/>
          <w:szCs w:val="18"/>
          <w:lang w:val="en-AU"/>
        </w:rPr>
      </w:pPr>
      <w:r>
        <w:rPr>
          <w:i/>
          <w:iCs/>
          <w:color w:val="404040" w:themeColor="text1" w:themeTint="BF"/>
          <w:sz w:val="18"/>
          <w:szCs w:val="18"/>
          <w:lang w:val="en-AU"/>
        </w:rPr>
        <w:t>Employment on-costs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Employment on-costs, including workers’ compensation insurance, are not employee benefits and are recognised separately as liabilities and expenses when the employment to which they relate has occurred. Employment on-costs are included as part of ‘Other expenses’ and are not included as part of the Commission’s ‘Employee benefits expense’. The related liability is included in ‘Employment on-costs provision’.</w:t>
      </w:r>
    </w:p>
    <w:p w:rsidR="0009212F" w:rsidRPr="0009212F" w:rsidRDefault="0009212F" w:rsidP="00047F19">
      <w:pPr>
        <w:pStyle w:val="BodyCopy"/>
        <w:tabs>
          <w:tab w:val="left" w:pos="709"/>
        </w:tabs>
        <w:spacing w:before="40" w:after="40" w:line="160" w:lineRule="atLeast"/>
        <w:rPr>
          <w:i/>
          <w:color w:val="404040" w:themeColor="text1" w:themeTint="BF"/>
          <w:sz w:val="18"/>
          <w:szCs w:val="18"/>
          <w:lang w:val="en-AU"/>
        </w:rPr>
      </w:pPr>
      <w:r w:rsidRPr="0009212F">
        <w:rPr>
          <w:i/>
          <w:color w:val="404040" w:themeColor="text1" w:themeTint="BF"/>
          <w:sz w:val="18"/>
          <w:szCs w:val="18"/>
          <w:lang w:val="en-AU"/>
        </w:rPr>
        <w:t>See note 11 ‘Other Expenses’ and note 21 ‘Provisions’.</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b/>
          <w:bCs/>
          <w:color w:val="404040" w:themeColor="text1" w:themeTint="BF"/>
          <w:sz w:val="18"/>
          <w:szCs w:val="18"/>
          <w:lang w:val="en-AU"/>
        </w:rPr>
      </w:pPr>
      <w:r>
        <w:rPr>
          <w:b/>
          <w:bCs/>
          <w:color w:val="404040" w:themeColor="text1" w:themeTint="BF"/>
          <w:sz w:val="18"/>
          <w:szCs w:val="18"/>
          <w:lang w:val="en-AU"/>
        </w:rPr>
        <w:t>(q) Superannuation expense</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Superannuation expense is recognised in the profit or loss of the Statement of Comprehensive Income and comprises employer contributions paid to the GSS (concurrent contributions), the WSS, the GESBS, or other superannuation funds. The employer contribution paid to the GESB in respect of the GSS is paid back into the Consolidated Account by the GESB.</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(r) Assets and services received fre</w:t>
      </w:r>
      <w:r w:rsidR="005049C0">
        <w:rPr>
          <w:b/>
          <w:bCs/>
          <w:color w:val="404040" w:themeColor="text1" w:themeTint="BF"/>
          <w:sz w:val="18"/>
          <w:szCs w:val="18"/>
          <w:lang w:val="en-AU"/>
        </w:rPr>
        <w:t>e of charge or for nominal cost</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Assets or services received free of charge or for nominal cost that the Commission would otherwise purchase if not donated, are recognised as income at the fair value of the assets or services where they can be reliably measured. A corresponding expense is recognised for services received. Receipts of assets are recognised in the Statement of Financial Position.</w:t>
      </w:r>
    </w:p>
    <w:p w:rsidR="0009212F" w:rsidRPr="0009212F" w:rsidRDefault="0009212F" w:rsidP="00047F19">
      <w:pPr>
        <w:pStyle w:val="BodyCopy"/>
        <w:tabs>
          <w:tab w:val="left" w:pos="709"/>
        </w:tabs>
        <w:spacing w:before="40" w:after="40" w:line="160" w:lineRule="atLeast"/>
        <w:rPr>
          <w:b/>
          <w:bCs/>
          <w:color w:val="404040" w:themeColor="text1" w:themeTint="BF"/>
          <w:sz w:val="18"/>
          <w:szCs w:val="18"/>
          <w:lang w:val="en-AU"/>
        </w:rPr>
      </w:pP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Assets or services received from other State Government agencies are separately disclosed under Income from State Government in the Statement of Comprehensive Income.</w:t>
      </w:r>
    </w:p>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p>
    <w:p w:rsidR="0009212F" w:rsidRPr="005049C0" w:rsidRDefault="005049C0" w:rsidP="00047F19">
      <w:pPr>
        <w:pStyle w:val="BodyCopy"/>
        <w:tabs>
          <w:tab w:val="left" w:pos="709"/>
        </w:tabs>
        <w:spacing w:before="40" w:after="40" w:line="160" w:lineRule="atLeast"/>
        <w:rPr>
          <w:b/>
          <w:bCs/>
          <w:color w:val="404040" w:themeColor="text1" w:themeTint="BF"/>
          <w:sz w:val="18"/>
          <w:szCs w:val="18"/>
          <w:lang w:val="en-AU"/>
        </w:rPr>
      </w:pPr>
      <w:r>
        <w:rPr>
          <w:b/>
          <w:bCs/>
          <w:color w:val="404040" w:themeColor="text1" w:themeTint="BF"/>
          <w:sz w:val="18"/>
          <w:szCs w:val="18"/>
          <w:lang w:val="en-AU"/>
        </w:rPr>
        <w:t>(s) Comparative figures</w:t>
      </w:r>
    </w:p>
    <w:p w:rsid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Comparative figures are, where appropriate, reclassified to be comparable with the figures presented in the current financial year.</w:t>
      </w:r>
    </w:p>
    <w:p w:rsidR="005049C0" w:rsidRPr="0009212F" w:rsidRDefault="005049C0" w:rsidP="00047F19">
      <w:pPr>
        <w:pStyle w:val="BodyCopy"/>
        <w:tabs>
          <w:tab w:val="left" w:pos="709"/>
        </w:tabs>
        <w:spacing w:before="40" w:after="40" w:line="160" w:lineRule="atLeast"/>
        <w:rPr>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roofErr w:type="gramStart"/>
      <w:r w:rsidRPr="0009212F">
        <w:rPr>
          <w:b/>
          <w:bCs/>
          <w:i/>
          <w:iCs/>
          <w:color w:val="404040" w:themeColor="text1" w:themeTint="BF"/>
          <w:sz w:val="18"/>
          <w:szCs w:val="18"/>
          <w:lang w:val="en-AU"/>
        </w:rPr>
        <w:t>Note 3.</w:t>
      </w:r>
      <w:proofErr w:type="gramEnd"/>
      <w:r w:rsidRPr="0009212F">
        <w:rPr>
          <w:b/>
          <w:bCs/>
          <w:i/>
          <w:iCs/>
          <w:color w:val="404040" w:themeColor="text1" w:themeTint="BF"/>
          <w:sz w:val="18"/>
          <w:szCs w:val="18"/>
          <w:lang w:val="en-AU"/>
        </w:rPr>
        <w:t xml:space="preserve"> Judgements made by management in applying accounting policies</w:t>
      </w:r>
    </w:p>
    <w:p w:rsidR="0009212F" w:rsidRPr="0009212F" w:rsidRDefault="0009212F" w:rsidP="00047F19">
      <w:pPr>
        <w:pStyle w:val="BodyCopy"/>
        <w:spacing w:before="40" w:after="40" w:line="160" w:lineRule="atLeast"/>
        <w:rPr>
          <w:color w:val="404040" w:themeColor="text1" w:themeTint="BF"/>
          <w:sz w:val="18"/>
          <w:szCs w:val="18"/>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preparation of financial statements requires management to make judgements about the application of accounting policies that have a significant effect on the amounts recognised in the financial statements. The Commission evaluates these judgements regularly.</w:t>
      </w:r>
    </w:p>
    <w:p w:rsidR="0009212F" w:rsidRPr="0009212F" w:rsidRDefault="0009212F" w:rsidP="00047F19">
      <w:pPr>
        <w:pStyle w:val="BodyCopy"/>
        <w:spacing w:before="40" w:after="40" w:line="160" w:lineRule="atLeast"/>
        <w:rPr>
          <w:b/>
          <w:bCs/>
          <w:color w:val="404040" w:themeColor="text1" w:themeTint="BF"/>
          <w:sz w:val="18"/>
          <w:szCs w:val="18"/>
          <w:lang w:val="en-AU"/>
        </w:rPr>
      </w:pPr>
    </w:p>
    <w:p w:rsidR="0009212F" w:rsidRPr="0009212F" w:rsidRDefault="005049C0" w:rsidP="00047F19">
      <w:pPr>
        <w:pStyle w:val="BodyCopy"/>
        <w:spacing w:before="40" w:after="40" w:line="160" w:lineRule="atLeast"/>
        <w:rPr>
          <w:b/>
          <w:bCs/>
          <w:color w:val="404040" w:themeColor="text1" w:themeTint="BF"/>
          <w:sz w:val="18"/>
          <w:szCs w:val="18"/>
          <w:lang w:val="en-AU"/>
        </w:rPr>
      </w:pPr>
      <w:r>
        <w:rPr>
          <w:b/>
          <w:bCs/>
          <w:color w:val="404040" w:themeColor="text1" w:themeTint="BF"/>
          <w:sz w:val="18"/>
          <w:szCs w:val="18"/>
          <w:lang w:val="en-AU"/>
        </w:rPr>
        <w:t>Operating lease commitments</w:t>
      </w: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Commission has entered into a number of leases for buildings for branch office accommodation. Some of these leases relate to buildings of a temporary nature and it has been determined that the lessor retains substantially all the risks and rewards incidental to ownership. Accordingly, these leases have been classified as operating leases.</w:t>
      </w:r>
    </w:p>
    <w:p w:rsidR="0009212F" w:rsidRPr="0009212F" w:rsidRDefault="0009212F" w:rsidP="00047F19">
      <w:pPr>
        <w:pStyle w:val="BodyCopy"/>
        <w:spacing w:before="40" w:after="40" w:line="160" w:lineRule="atLeast"/>
        <w:rPr>
          <w:color w:val="404040" w:themeColor="text1" w:themeTint="BF"/>
          <w:sz w:val="18"/>
          <w:szCs w:val="18"/>
          <w:lang w:val="en-AU"/>
        </w:rPr>
      </w:pPr>
    </w:p>
    <w:p w:rsidR="0009212F" w:rsidRPr="0009212F" w:rsidRDefault="005049C0" w:rsidP="00047F19">
      <w:pPr>
        <w:pStyle w:val="BodyCopy"/>
        <w:spacing w:before="40" w:after="40" w:line="160" w:lineRule="atLeast"/>
        <w:rPr>
          <w:b/>
          <w:bCs/>
          <w:color w:val="404040" w:themeColor="text1" w:themeTint="BF"/>
          <w:sz w:val="18"/>
          <w:szCs w:val="18"/>
          <w:lang w:val="en-AU"/>
        </w:rPr>
      </w:pPr>
      <w:r>
        <w:rPr>
          <w:b/>
          <w:bCs/>
          <w:color w:val="404040" w:themeColor="text1" w:themeTint="BF"/>
          <w:sz w:val="18"/>
          <w:szCs w:val="18"/>
          <w:lang w:val="en-AU"/>
        </w:rPr>
        <w:t>Intangible assets</w:t>
      </w: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A judgement has been made that the useful life of intangible assets (roll management system) will be 15 years based on historical evidence of the previous software system. </w:t>
      </w:r>
    </w:p>
    <w:p w:rsidR="0009212F" w:rsidRPr="0009212F" w:rsidRDefault="0009212F" w:rsidP="00047F19">
      <w:pPr>
        <w:pStyle w:val="BodyCopy"/>
        <w:spacing w:before="40" w:after="40" w:line="160" w:lineRule="atLeast"/>
        <w:rPr>
          <w:b/>
          <w:bCs/>
          <w:i/>
          <w:iCs/>
          <w:color w:val="404040" w:themeColor="text1" w:themeTint="BF"/>
          <w:sz w:val="18"/>
          <w:szCs w:val="18"/>
          <w:lang w:val="en-AU"/>
        </w:rPr>
      </w:pPr>
    </w:p>
    <w:p w:rsidR="0009212F" w:rsidRPr="005049C0" w:rsidRDefault="0009212F" w:rsidP="00047F19">
      <w:pPr>
        <w:pStyle w:val="BodyCopy"/>
        <w:spacing w:before="40" w:after="40" w:line="160" w:lineRule="atLeast"/>
        <w:rPr>
          <w:b/>
          <w:bCs/>
          <w:i/>
          <w:iCs/>
          <w:color w:val="404040" w:themeColor="text1" w:themeTint="BF"/>
          <w:sz w:val="18"/>
          <w:szCs w:val="18"/>
          <w:lang w:val="en-AU"/>
        </w:rPr>
      </w:pPr>
      <w:proofErr w:type="gramStart"/>
      <w:r w:rsidRPr="0009212F">
        <w:rPr>
          <w:b/>
          <w:bCs/>
          <w:i/>
          <w:iCs/>
          <w:color w:val="404040" w:themeColor="text1" w:themeTint="BF"/>
          <w:sz w:val="18"/>
          <w:szCs w:val="18"/>
          <w:lang w:val="en-AU"/>
        </w:rPr>
        <w:t>Note 4.</w:t>
      </w:r>
      <w:proofErr w:type="gramEnd"/>
      <w:r w:rsidRPr="0009212F">
        <w:rPr>
          <w:b/>
          <w:bCs/>
          <w:i/>
          <w:iCs/>
          <w:color w:val="404040" w:themeColor="text1" w:themeTint="BF"/>
          <w:sz w:val="18"/>
          <w:szCs w:val="18"/>
          <w:lang w:val="en-AU"/>
        </w:rPr>
        <w:t xml:space="preserve"> Key so</w:t>
      </w:r>
      <w:r w:rsidR="005049C0">
        <w:rPr>
          <w:b/>
          <w:bCs/>
          <w:i/>
          <w:iCs/>
          <w:color w:val="404040" w:themeColor="text1" w:themeTint="BF"/>
          <w:sz w:val="18"/>
          <w:szCs w:val="18"/>
          <w:lang w:val="en-AU"/>
        </w:rPr>
        <w:t>urces of estimation uncertainty</w:t>
      </w: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Key estimates and assumptions concerning the future are based on historical experience and various other factors that have a significant risk of causing a material adjustment to the carrying amount of assets and liabilities within the next financial year.</w:t>
      </w:r>
    </w:p>
    <w:p w:rsidR="0009212F" w:rsidRPr="0009212F" w:rsidRDefault="0009212F" w:rsidP="00047F19">
      <w:pPr>
        <w:pStyle w:val="BodyCopy"/>
        <w:spacing w:before="40" w:after="40" w:line="160" w:lineRule="atLeast"/>
        <w:rPr>
          <w:b/>
          <w:bCs/>
          <w:color w:val="404040" w:themeColor="text1" w:themeTint="BF"/>
          <w:sz w:val="18"/>
          <w:szCs w:val="18"/>
          <w:lang w:val="en-AU"/>
        </w:rPr>
      </w:pPr>
    </w:p>
    <w:p w:rsidR="0009212F" w:rsidRPr="0009212F" w:rsidRDefault="0009212F" w:rsidP="00047F19">
      <w:pPr>
        <w:pStyle w:val="BodyCopy"/>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Long S</w:t>
      </w:r>
      <w:r w:rsidR="005049C0">
        <w:rPr>
          <w:b/>
          <w:bCs/>
          <w:color w:val="404040" w:themeColor="text1" w:themeTint="BF"/>
          <w:sz w:val="18"/>
          <w:szCs w:val="18"/>
          <w:lang w:val="en-AU"/>
        </w:rPr>
        <w:t>ervice Leave</w:t>
      </w: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Several estimations and assumptions used in calculating the Commission’s long service leave provision include expected future salary rates, discount rates, employee retention rates and expected future payments. Changes in these estimations and assumptions may impact on the carrying amount of the long service leave provision.</w:t>
      </w:r>
    </w:p>
    <w:p w:rsidR="0009212F" w:rsidRPr="0009212F" w:rsidRDefault="0009212F" w:rsidP="00047F19">
      <w:pPr>
        <w:pStyle w:val="BodyCopy"/>
        <w:spacing w:before="40" w:after="40" w:line="160" w:lineRule="atLeast"/>
        <w:rPr>
          <w:color w:val="404040" w:themeColor="text1" w:themeTint="BF"/>
          <w:sz w:val="18"/>
          <w:szCs w:val="18"/>
          <w:lang w:val="en-AU"/>
        </w:rPr>
      </w:pPr>
    </w:p>
    <w:p w:rsidR="005049C0" w:rsidRDefault="005049C0" w:rsidP="00047F19">
      <w:pPr>
        <w:pStyle w:val="BodyCopy"/>
        <w:spacing w:before="40" w:after="40" w:line="160" w:lineRule="atLeast"/>
        <w:rPr>
          <w:b/>
          <w:bCs/>
          <w:i/>
          <w:iCs/>
          <w:color w:val="404040" w:themeColor="text1" w:themeTint="BF"/>
          <w:sz w:val="18"/>
          <w:szCs w:val="18"/>
          <w:lang w:val="en-AU"/>
        </w:rPr>
      </w:pPr>
      <w:r>
        <w:rPr>
          <w:b/>
          <w:bCs/>
          <w:i/>
          <w:iCs/>
          <w:color w:val="404040" w:themeColor="text1" w:themeTint="BF"/>
          <w:sz w:val="18"/>
          <w:szCs w:val="18"/>
          <w:lang w:val="en-AU"/>
        </w:rPr>
        <w:br w:type="page"/>
      </w:r>
    </w:p>
    <w:p w:rsidR="0009212F" w:rsidRPr="0009212F" w:rsidRDefault="0009212F" w:rsidP="00047F19">
      <w:pPr>
        <w:pStyle w:val="BodyCopy"/>
        <w:spacing w:before="40" w:after="40" w:line="160" w:lineRule="atLeast"/>
        <w:rPr>
          <w:b/>
          <w:bCs/>
          <w:i/>
          <w:iCs/>
          <w:color w:val="404040" w:themeColor="text1" w:themeTint="BF"/>
          <w:sz w:val="18"/>
          <w:szCs w:val="18"/>
          <w:lang w:val="en-AU"/>
        </w:rPr>
      </w:pPr>
      <w:proofErr w:type="gramStart"/>
      <w:r w:rsidRPr="0009212F">
        <w:rPr>
          <w:b/>
          <w:bCs/>
          <w:i/>
          <w:iCs/>
          <w:color w:val="404040" w:themeColor="text1" w:themeTint="BF"/>
          <w:sz w:val="18"/>
          <w:szCs w:val="18"/>
          <w:lang w:val="en-AU"/>
        </w:rPr>
        <w:lastRenderedPageBreak/>
        <w:t>Note 5.</w:t>
      </w:r>
      <w:proofErr w:type="gramEnd"/>
      <w:r w:rsidRPr="0009212F">
        <w:rPr>
          <w:b/>
          <w:bCs/>
          <w:i/>
          <w:iCs/>
          <w:color w:val="404040" w:themeColor="text1" w:themeTint="BF"/>
          <w:sz w:val="18"/>
          <w:szCs w:val="18"/>
          <w:lang w:val="en-AU"/>
        </w:rPr>
        <w:t xml:space="preserve"> Disclosure of changes in accounting policy and estimates</w:t>
      </w:r>
    </w:p>
    <w:p w:rsidR="0009212F" w:rsidRPr="0009212F" w:rsidRDefault="0009212F" w:rsidP="00047F19">
      <w:pPr>
        <w:pStyle w:val="BodyCopy"/>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Initial application of an Australian Accounting Standard</w:t>
      </w:r>
    </w:p>
    <w:p w:rsidR="0009212F" w:rsidRPr="0009212F" w:rsidRDefault="0009212F" w:rsidP="00047F19">
      <w:pPr>
        <w:pStyle w:val="BodyCopy"/>
        <w:spacing w:before="40" w:after="40" w:line="160" w:lineRule="atLeast"/>
        <w:rPr>
          <w:b/>
          <w:bCs/>
          <w:color w:val="404040" w:themeColor="text1" w:themeTint="BF"/>
          <w:sz w:val="18"/>
          <w:szCs w:val="18"/>
          <w:lang w:val="en-AU"/>
        </w:rPr>
      </w:pP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Commission has applied the following Australian Accounting Standards effective, or adopted, for annual reporting periods beginning on or after 1 July 2014 that impacted on the Commission.</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bl>
      <w:tblPr>
        <w:tblW w:w="9884" w:type="dxa"/>
        <w:tblCellSpacing w:w="0" w:type="dxa"/>
        <w:tblInd w:w="-10" w:type="dxa"/>
        <w:tblLayout w:type="fixed"/>
        <w:tblCellMar>
          <w:left w:w="72" w:type="dxa"/>
          <w:right w:w="72" w:type="dxa"/>
        </w:tblCellMar>
        <w:tblLook w:val="01E0" w:firstRow="1" w:lastRow="1" w:firstColumn="1" w:lastColumn="1" w:noHBand="0" w:noVBand="0"/>
      </w:tblPr>
      <w:tblGrid>
        <w:gridCol w:w="82"/>
        <w:gridCol w:w="1977"/>
        <w:gridCol w:w="82"/>
        <w:gridCol w:w="7661"/>
        <w:gridCol w:w="82"/>
      </w:tblGrid>
      <w:tr w:rsidR="0009212F" w:rsidRPr="0009212F" w:rsidTr="005049C0">
        <w:trPr>
          <w:gridAfter w:val="1"/>
          <w:wAfter w:w="82" w:type="dxa"/>
          <w:cantSplit/>
          <w:tblCellSpacing w:w="0" w:type="dxa"/>
        </w:trPr>
        <w:tc>
          <w:tcPr>
            <w:tcW w:w="2059" w:type="dxa"/>
            <w:gridSpan w:val="2"/>
            <w:shd w:val="clear" w:color="auto" w:fill="auto"/>
          </w:tcPr>
          <w:p w:rsidR="0009212F" w:rsidRPr="0009212F" w:rsidRDefault="0009212F" w:rsidP="0009212F">
            <w:pPr>
              <w:pStyle w:val="BodyCopy"/>
              <w:tabs>
                <w:tab w:val="left" w:pos="709"/>
              </w:tabs>
              <w:spacing w:before="40" w:after="40" w:line="160" w:lineRule="atLeast"/>
              <w:ind w:left="1418" w:hanging="1418"/>
              <w:rPr>
                <w:i/>
                <w:color w:val="404040" w:themeColor="text1" w:themeTint="BF"/>
                <w:sz w:val="18"/>
                <w:szCs w:val="18"/>
                <w:lang w:val="en-AU"/>
              </w:rPr>
            </w:pPr>
            <w:r w:rsidRPr="0009212F">
              <w:rPr>
                <w:i/>
                <w:color w:val="404040" w:themeColor="text1" w:themeTint="BF"/>
                <w:sz w:val="18"/>
                <w:szCs w:val="18"/>
                <w:lang w:val="en-AU"/>
              </w:rPr>
              <w:t>AASB 1031</w:t>
            </w:r>
          </w:p>
        </w:tc>
        <w:tc>
          <w:tcPr>
            <w:tcW w:w="7743" w:type="dxa"/>
            <w:gridSpan w:val="2"/>
            <w:shd w:val="clear" w:color="auto" w:fill="auto"/>
          </w:tcPr>
          <w:p w:rsidR="0009212F" w:rsidRPr="0009212F" w:rsidRDefault="0009212F" w:rsidP="00047F19">
            <w:pPr>
              <w:pStyle w:val="BodyCopy"/>
              <w:spacing w:before="40" w:after="40" w:line="160" w:lineRule="atLeast"/>
              <w:rPr>
                <w:i/>
                <w:color w:val="404040" w:themeColor="text1" w:themeTint="BF"/>
                <w:sz w:val="18"/>
                <w:szCs w:val="18"/>
                <w:lang w:val="en-AU"/>
              </w:rPr>
            </w:pPr>
            <w:r w:rsidRPr="0009212F">
              <w:rPr>
                <w:i/>
                <w:color w:val="404040" w:themeColor="text1" w:themeTint="BF"/>
                <w:sz w:val="18"/>
                <w:szCs w:val="18"/>
                <w:lang w:val="en-AU"/>
              </w:rPr>
              <w:t>Materiality</w:t>
            </w:r>
            <w:r w:rsidRPr="0009212F" w:rsidDel="0041377B">
              <w:rPr>
                <w:i/>
                <w:color w:val="404040" w:themeColor="text1" w:themeTint="BF"/>
                <w:sz w:val="18"/>
                <w:szCs w:val="18"/>
                <w:lang w:val="en-AU"/>
              </w:rPr>
              <w:t xml:space="preserve"> </w:t>
            </w: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This Standard supersedes AASB 1031 (February 2010), removing Australian guidance on materiality not available in IFRSs and refer to guidance on materiality in other Australian pronouncements. There is no financial impact.</w:t>
            </w:r>
          </w:p>
        </w:tc>
      </w:tr>
      <w:tr w:rsidR="0009212F" w:rsidRPr="0009212F" w:rsidTr="005049C0">
        <w:trPr>
          <w:gridAfter w:val="1"/>
          <w:wAfter w:w="82" w:type="dxa"/>
          <w:cantSplit/>
          <w:tblCellSpacing w:w="0" w:type="dxa"/>
        </w:trPr>
        <w:tc>
          <w:tcPr>
            <w:tcW w:w="2059" w:type="dxa"/>
            <w:gridSpan w:val="2"/>
            <w:shd w:val="clear" w:color="auto" w:fill="auto"/>
          </w:tcPr>
          <w:p w:rsidR="0009212F" w:rsidRPr="0009212F" w:rsidRDefault="0009212F" w:rsidP="0009212F">
            <w:pPr>
              <w:pStyle w:val="BodyCopy"/>
              <w:tabs>
                <w:tab w:val="left" w:pos="709"/>
              </w:tabs>
              <w:spacing w:before="40" w:after="40" w:line="160" w:lineRule="atLeast"/>
              <w:ind w:left="1418" w:hanging="1418"/>
              <w:rPr>
                <w:i/>
                <w:color w:val="404040" w:themeColor="text1" w:themeTint="BF"/>
                <w:sz w:val="18"/>
                <w:szCs w:val="18"/>
                <w:lang w:val="en-AU"/>
              </w:rPr>
            </w:pPr>
            <w:r w:rsidRPr="0009212F">
              <w:rPr>
                <w:i/>
                <w:color w:val="404040" w:themeColor="text1" w:themeTint="BF"/>
                <w:sz w:val="18"/>
                <w:szCs w:val="18"/>
                <w:lang w:val="en-AU"/>
              </w:rPr>
              <w:t>AASB 1055</w:t>
            </w:r>
          </w:p>
        </w:tc>
        <w:tc>
          <w:tcPr>
            <w:tcW w:w="7743" w:type="dxa"/>
            <w:gridSpan w:val="2"/>
            <w:shd w:val="clear" w:color="auto" w:fill="auto"/>
          </w:tcPr>
          <w:p w:rsidR="0009212F" w:rsidRPr="0009212F" w:rsidRDefault="0009212F" w:rsidP="00047F19">
            <w:pPr>
              <w:pStyle w:val="BodyCopy"/>
              <w:spacing w:before="40" w:after="40" w:line="160" w:lineRule="atLeast"/>
              <w:rPr>
                <w:i/>
                <w:color w:val="404040" w:themeColor="text1" w:themeTint="BF"/>
                <w:sz w:val="18"/>
                <w:szCs w:val="18"/>
                <w:lang w:val="en-AU"/>
              </w:rPr>
            </w:pPr>
            <w:r w:rsidRPr="0009212F">
              <w:rPr>
                <w:i/>
                <w:color w:val="404040" w:themeColor="text1" w:themeTint="BF"/>
                <w:sz w:val="18"/>
                <w:szCs w:val="18"/>
                <w:lang w:val="en-AU"/>
              </w:rPr>
              <w:t>Budgetary Reporting</w:t>
            </w: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This Standard requires specific budgetary disclosures in the general purpose financial statements of not-for-profit entities within the General Government Sector. The Commission will be required to disclose additional budgetary information and explanations of major variances between actual and budgeted amounts, though there is no financial impact.</w:t>
            </w:r>
          </w:p>
        </w:tc>
      </w:tr>
      <w:tr w:rsidR="0009212F" w:rsidRPr="0009212F" w:rsidTr="005049C0">
        <w:trPr>
          <w:gridAfter w:val="1"/>
          <w:wAfter w:w="82" w:type="dxa"/>
          <w:cantSplit/>
          <w:tblCellSpacing w:w="0" w:type="dxa"/>
        </w:trPr>
        <w:tc>
          <w:tcPr>
            <w:tcW w:w="2059" w:type="dxa"/>
            <w:gridSpan w:val="2"/>
            <w:shd w:val="clear" w:color="auto" w:fill="auto"/>
          </w:tcPr>
          <w:p w:rsidR="0009212F" w:rsidRPr="0009212F" w:rsidRDefault="0009212F" w:rsidP="0009212F">
            <w:pPr>
              <w:pStyle w:val="BodyCopy"/>
              <w:tabs>
                <w:tab w:val="left" w:pos="709"/>
              </w:tabs>
              <w:spacing w:before="40" w:after="40" w:line="160" w:lineRule="atLeast"/>
              <w:ind w:left="1418" w:hanging="1418"/>
              <w:rPr>
                <w:i/>
                <w:color w:val="404040" w:themeColor="text1" w:themeTint="BF"/>
                <w:sz w:val="18"/>
                <w:szCs w:val="18"/>
                <w:lang w:val="en-AU"/>
              </w:rPr>
            </w:pPr>
            <w:r w:rsidRPr="0009212F">
              <w:rPr>
                <w:i/>
                <w:color w:val="404040" w:themeColor="text1" w:themeTint="BF"/>
                <w:sz w:val="18"/>
                <w:szCs w:val="18"/>
                <w:lang w:val="en-AU"/>
              </w:rPr>
              <w:t>AASB 2012-3</w:t>
            </w:r>
          </w:p>
        </w:tc>
        <w:tc>
          <w:tcPr>
            <w:tcW w:w="7743" w:type="dxa"/>
            <w:gridSpan w:val="2"/>
            <w:shd w:val="clear" w:color="auto" w:fill="auto"/>
          </w:tcPr>
          <w:p w:rsidR="0009212F" w:rsidRPr="0009212F" w:rsidRDefault="0009212F" w:rsidP="00047F19">
            <w:pPr>
              <w:pStyle w:val="BodyCopy"/>
              <w:spacing w:before="40" w:after="40" w:line="160" w:lineRule="atLeast"/>
              <w:rPr>
                <w:i/>
                <w:color w:val="404040" w:themeColor="text1" w:themeTint="BF"/>
                <w:sz w:val="18"/>
                <w:szCs w:val="18"/>
                <w:lang w:val="en-AU"/>
              </w:rPr>
            </w:pPr>
            <w:r w:rsidRPr="0009212F">
              <w:rPr>
                <w:i/>
                <w:color w:val="404040" w:themeColor="text1" w:themeTint="BF"/>
                <w:sz w:val="18"/>
                <w:szCs w:val="18"/>
                <w:lang w:val="en-AU"/>
              </w:rPr>
              <w:t>Amendments to Australian Accounting Standards – Offsetting Financial Assets and Financial Liabilities [AASB 132]</w:t>
            </w: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This Standard adds application guidance to AASB 132 to address inconsistencies identified in applying some of the offsetting criteria, including clarifying the meaning of “currently has a legally enforceable right of set-off” and that some gross settlement systems may be considered equivalent to net settlement. There is no financial impact.</w:t>
            </w:r>
          </w:p>
        </w:tc>
      </w:tr>
      <w:tr w:rsidR="0009212F" w:rsidRPr="0009212F" w:rsidTr="005049C0">
        <w:trPr>
          <w:gridBefore w:val="1"/>
          <w:wBefore w:w="82" w:type="dxa"/>
          <w:cantSplit/>
          <w:tblCellSpacing w:w="0" w:type="dxa"/>
        </w:trPr>
        <w:tc>
          <w:tcPr>
            <w:tcW w:w="2059" w:type="dxa"/>
            <w:gridSpan w:val="2"/>
            <w:shd w:val="clear" w:color="auto" w:fill="auto"/>
          </w:tcPr>
          <w:p w:rsidR="0009212F" w:rsidRPr="0009212F" w:rsidRDefault="0009212F" w:rsidP="0009212F">
            <w:pPr>
              <w:pStyle w:val="BodyCopy"/>
              <w:tabs>
                <w:tab w:val="left" w:pos="709"/>
              </w:tabs>
              <w:spacing w:before="40" w:after="40" w:line="160" w:lineRule="atLeast"/>
              <w:ind w:left="1418" w:hanging="1418"/>
              <w:rPr>
                <w:i/>
                <w:color w:val="404040" w:themeColor="text1" w:themeTint="BF"/>
                <w:sz w:val="18"/>
                <w:szCs w:val="18"/>
                <w:lang w:val="en-AU"/>
              </w:rPr>
            </w:pPr>
          </w:p>
        </w:tc>
        <w:tc>
          <w:tcPr>
            <w:tcW w:w="7743" w:type="dxa"/>
            <w:gridSpan w:val="2"/>
            <w:shd w:val="clear" w:color="auto" w:fill="auto"/>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5049C0">
        <w:trPr>
          <w:gridBefore w:val="1"/>
          <w:wBefore w:w="82" w:type="dxa"/>
          <w:cantSplit/>
          <w:tblCellSpacing w:w="0" w:type="dxa"/>
        </w:trPr>
        <w:tc>
          <w:tcPr>
            <w:tcW w:w="2059" w:type="dxa"/>
            <w:gridSpan w:val="2"/>
            <w:shd w:val="clear" w:color="auto" w:fill="auto"/>
          </w:tcPr>
          <w:p w:rsidR="0009212F" w:rsidRPr="0009212F" w:rsidRDefault="0009212F" w:rsidP="0009212F">
            <w:pPr>
              <w:pStyle w:val="BodyCopy"/>
              <w:tabs>
                <w:tab w:val="left" w:pos="709"/>
              </w:tabs>
              <w:spacing w:before="40" w:after="40" w:line="160" w:lineRule="atLeast"/>
              <w:ind w:left="1418" w:hanging="1418"/>
              <w:rPr>
                <w:i/>
                <w:color w:val="404040" w:themeColor="text1" w:themeTint="BF"/>
                <w:sz w:val="18"/>
                <w:szCs w:val="18"/>
                <w:lang w:val="en-AU"/>
              </w:rPr>
            </w:pPr>
            <w:r w:rsidRPr="0009212F">
              <w:rPr>
                <w:i/>
                <w:color w:val="404040" w:themeColor="text1" w:themeTint="BF"/>
                <w:sz w:val="18"/>
                <w:szCs w:val="18"/>
                <w:lang w:val="en-AU"/>
              </w:rPr>
              <w:t>AASB 2013-3</w:t>
            </w:r>
          </w:p>
        </w:tc>
        <w:tc>
          <w:tcPr>
            <w:tcW w:w="7743" w:type="dxa"/>
            <w:gridSpan w:val="2"/>
            <w:shd w:val="clear" w:color="auto" w:fill="auto"/>
          </w:tcPr>
          <w:p w:rsidR="0009212F" w:rsidRPr="0009212F" w:rsidRDefault="0009212F" w:rsidP="0009212F">
            <w:pPr>
              <w:pStyle w:val="BodyCopy"/>
              <w:tabs>
                <w:tab w:val="left" w:pos="709"/>
              </w:tabs>
              <w:spacing w:before="40" w:after="40" w:line="160" w:lineRule="atLeast"/>
              <w:ind w:left="1418" w:hanging="1418"/>
              <w:rPr>
                <w:i/>
                <w:color w:val="404040" w:themeColor="text1" w:themeTint="BF"/>
                <w:sz w:val="18"/>
                <w:szCs w:val="18"/>
                <w:lang w:val="en-AU"/>
              </w:rPr>
            </w:pPr>
            <w:r w:rsidRPr="0009212F">
              <w:rPr>
                <w:i/>
                <w:color w:val="404040" w:themeColor="text1" w:themeTint="BF"/>
                <w:sz w:val="18"/>
                <w:szCs w:val="18"/>
                <w:lang w:val="en-AU"/>
              </w:rPr>
              <w:t>Amendments to AASB 136 – Recoverable Amount Disclosures for Non-Financial Assets</w:t>
            </w:r>
          </w:p>
          <w:p w:rsidR="0009212F" w:rsidRPr="0009212F" w:rsidRDefault="0009212F" w:rsidP="0009212F">
            <w:pPr>
              <w:pStyle w:val="BodyCopy"/>
              <w:tabs>
                <w:tab w:val="left" w:pos="709"/>
              </w:tabs>
              <w:spacing w:before="40" w:after="40" w:line="160" w:lineRule="atLeast"/>
              <w:ind w:left="1418" w:hanging="1418"/>
              <w:rPr>
                <w:i/>
                <w:color w:val="404040" w:themeColor="text1" w:themeTint="BF"/>
                <w:sz w:val="18"/>
                <w:szCs w:val="18"/>
                <w:lang w:val="en-AU"/>
              </w:rPr>
            </w:pPr>
            <w:r w:rsidRPr="0009212F">
              <w:rPr>
                <w:color w:val="404040" w:themeColor="text1" w:themeTint="BF"/>
                <w:sz w:val="18"/>
                <w:szCs w:val="18"/>
                <w:lang w:val="en-AU"/>
              </w:rPr>
              <w:t>This Standard introduces editorial and disclosure changes. There is no financial impact.</w:t>
            </w:r>
          </w:p>
        </w:tc>
      </w:tr>
      <w:tr w:rsidR="0009212F" w:rsidRPr="0009212F" w:rsidTr="005049C0">
        <w:trPr>
          <w:gridBefore w:val="1"/>
          <w:wBefore w:w="82" w:type="dxa"/>
          <w:cantSplit/>
          <w:tblCellSpacing w:w="0" w:type="dxa"/>
        </w:trPr>
        <w:tc>
          <w:tcPr>
            <w:tcW w:w="2059" w:type="dxa"/>
            <w:gridSpan w:val="2"/>
            <w:shd w:val="clear" w:color="auto" w:fill="auto"/>
          </w:tcPr>
          <w:p w:rsidR="0009212F" w:rsidRPr="0009212F" w:rsidRDefault="0009212F" w:rsidP="0009212F">
            <w:pPr>
              <w:pStyle w:val="BodyCopy"/>
              <w:tabs>
                <w:tab w:val="left" w:pos="709"/>
              </w:tabs>
              <w:spacing w:before="40" w:after="40" w:line="160" w:lineRule="atLeast"/>
              <w:ind w:left="1418" w:hanging="1418"/>
              <w:rPr>
                <w:i/>
                <w:color w:val="404040" w:themeColor="text1" w:themeTint="BF"/>
                <w:sz w:val="18"/>
                <w:szCs w:val="18"/>
                <w:lang w:val="en-AU"/>
              </w:rPr>
            </w:pPr>
            <w:r w:rsidRPr="0009212F">
              <w:rPr>
                <w:i/>
                <w:color w:val="404040" w:themeColor="text1" w:themeTint="BF"/>
                <w:sz w:val="18"/>
                <w:szCs w:val="18"/>
                <w:lang w:val="en-AU"/>
              </w:rPr>
              <w:t>AASB 2013-9</w:t>
            </w:r>
          </w:p>
        </w:tc>
        <w:tc>
          <w:tcPr>
            <w:tcW w:w="7743" w:type="dxa"/>
            <w:gridSpan w:val="2"/>
            <w:shd w:val="clear" w:color="auto" w:fill="auto"/>
          </w:tcPr>
          <w:p w:rsidR="0009212F" w:rsidRPr="0009212F" w:rsidRDefault="0009212F" w:rsidP="00047F19">
            <w:pPr>
              <w:pStyle w:val="BodyCopy"/>
              <w:spacing w:before="40" w:after="40" w:line="160" w:lineRule="atLeast"/>
              <w:rPr>
                <w:i/>
                <w:color w:val="404040" w:themeColor="text1" w:themeTint="BF"/>
                <w:sz w:val="18"/>
                <w:szCs w:val="18"/>
                <w:lang w:val="en-AU"/>
              </w:rPr>
            </w:pPr>
            <w:r w:rsidRPr="0009212F">
              <w:rPr>
                <w:i/>
                <w:color w:val="404040" w:themeColor="text1" w:themeTint="BF"/>
                <w:sz w:val="18"/>
                <w:szCs w:val="18"/>
                <w:lang w:val="en-AU"/>
              </w:rPr>
              <w:t>Amendments to Australian Accounting Standards – Conceptual Framework, Materiality and Financial Instruments</w:t>
            </w: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Part B of this omnibus Standard makes amendments to other Standards arising from the deletion of references to AASB 1031 in other Standards for periods beginning on or after 1 January 2014. It has no financial impact.</w:t>
            </w:r>
          </w:p>
        </w:tc>
      </w:tr>
      <w:tr w:rsidR="0009212F" w:rsidRPr="0009212F" w:rsidTr="005049C0">
        <w:trPr>
          <w:gridBefore w:val="1"/>
          <w:wBefore w:w="82" w:type="dxa"/>
          <w:cantSplit/>
          <w:tblCellSpacing w:w="0" w:type="dxa"/>
        </w:trPr>
        <w:tc>
          <w:tcPr>
            <w:tcW w:w="2059" w:type="dxa"/>
            <w:gridSpan w:val="2"/>
            <w:shd w:val="clear" w:color="auto" w:fill="auto"/>
          </w:tcPr>
          <w:p w:rsidR="0009212F" w:rsidRPr="0009212F" w:rsidRDefault="0009212F" w:rsidP="0009212F">
            <w:pPr>
              <w:pStyle w:val="BodyCopy"/>
              <w:tabs>
                <w:tab w:val="left" w:pos="709"/>
              </w:tabs>
              <w:spacing w:before="40" w:after="40" w:line="160" w:lineRule="atLeast"/>
              <w:ind w:left="1418" w:hanging="1418"/>
              <w:rPr>
                <w:i/>
                <w:color w:val="404040" w:themeColor="text1" w:themeTint="BF"/>
                <w:sz w:val="18"/>
                <w:szCs w:val="18"/>
                <w:lang w:val="en-AU"/>
              </w:rPr>
            </w:pPr>
            <w:r w:rsidRPr="0009212F">
              <w:rPr>
                <w:i/>
                <w:color w:val="404040" w:themeColor="text1" w:themeTint="BF"/>
                <w:sz w:val="18"/>
                <w:szCs w:val="18"/>
                <w:lang w:val="en-AU"/>
              </w:rPr>
              <w:t>AASB 2014-1</w:t>
            </w:r>
          </w:p>
        </w:tc>
        <w:tc>
          <w:tcPr>
            <w:tcW w:w="7743" w:type="dxa"/>
            <w:gridSpan w:val="2"/>
            <w:shd w:val="clear" w:color="auto" w:fill="auto"/>
          </w:tcPr>
          <w:p w:rsidR="0009212F" w:rsidRPr="0009212F" w:rsidRDefault="0009212F" w:rsidP="00047F19">
            <w:pPr>
              <w:pStyle w:val="BodyCopy"/>
              <w:spacing w:before="40" w:after="40" w:line="160" w:lineRule="atLeast"/>
              <w:ind w:left="-4" w:firstLine="4"/>
              <w:rPr>
                <w:i/>
                <w:iCs/>
                <w:color w:val="404040" w:themeColor="text1" w:themeTint="BF"/>
                <w:sz w:val="18"/>
                <w:szCs w:val="18"/>
                <w:lang w:val="en-AU"/>
              </w:rPr>
            </w:pPr>
            <w:r w:rsidRPr="0009212F">
              <w:rPr>
                <w:i/>
                <w:iCs/>
                <w:color w:val="404040" w:themeColor="text1" w:themeTint="BF"/>
                <w:sz w:val="18"/>
                <w:szCs w:val="18"/>
                <w:lang w:val="en-AU"/>
              </w:rPr>
              <w:t>Amendments to Australian Accounting Standards</w:t>
            </w:r>
          </w:p>
          <w:p w:rsidR="0009212F" w:rsidRPr="0009212F" w:rsidRDefault="0009212F" w:rsidP="00047F19">
            <w:pPr>
              <w:pStyle w:val="BodyCopy"/>
              <w:spacing w:before="40" w:after="40" w:line="160" w:lineRule="atLeast"/>
              <w:ind w:left="-4" w:firstLine="4"/>
              <w:rPr>
                <w:color w:val="404040" w:themeColor="text1" w:themeTint="BF"/>
                <w:sz w:val="18"/>
                <w:szCs w:val="18"/>
                <w:lang w:val="en-AU"/>
              </w:rPr>
            </w:pPr>
            <w:r w:rsidRPr="0009212F">
              <w:rPr>
                <w:color w:val="404040" w:themeColor="text1" w:themeTint="BF"/>
                <w:sz w:val="18"/>
                <w:szCs w:val="18"/>
                <w:lang w:val="en-AU"/>
              </w:rPr>
              <w:t>Part A of this Standard consists primarily of clarifications to Accounting Standards and has no financial impact for the Department.</w:t>
            </w:r>
          </w:p>
          <w:p w:rsidR="0009212F" w:rsidRPr="0009212F" w:rsidRDefault="0009212F" w:rsidP="00047F19">
            <w:pPr>
              <w:pStyle w:val="BodyCopy"/>
              <w:spacing w:before="40" w:after="40" w:line="160" w:lineRule="atLeast"/>
              <w:ind w:left="-4" w:firstLine="4"/>
              <w:rPr>
                <w:color w:val="404040" w:themeColor="text1" w:themeTint="BF"/>
                <w:sz w:val="18"/>
                <w:szCs w:val="18"/>
                <w:lang w:val="en-AU"/>
              </w:rPr>
            </w:pPr>
            <w:r w:rsidRPr="0009212F">
              <w:rPr>
                <w:color w:val="404040" w:themeColor="text1" w:themeTint="BF"/>
                <w:sz w:val="18"/>
                <w:szCs w:val="18"/>
                <w:lang w:val="en-AU"/>
              </w:rPr>
              <w:t>Part B of this Standard has no financial impact as the Commission contributes to schemes that are either defined contribution plans, or deemed to be defined contribution plans.</w:t>
            </w:r>
          </w:p>
          <w:p w:rsidR="0009212F" w:rsidRPr="0009212F" w:rsidRDefault="0009212F" w:rsidP="00047F19">
            <w:pPr>
              <w:pStyle w:val="BodyCopy"/>
              <w:spacing w:before="40" w:after="40" w:line="160" w:lineRule="atLeast"/>
              <w:ind w:left="-4" w:firstLine="4"/>
              <w:rPr>
                <w:i/>
                <w:color w:val="404040" w:themeColor="text1" w:themeTint="BF"/>
                <w:sz w:val="18"/>
                <w:szCs w:val="18"/>
                <w:lang w:val="en-AU"/>
              </w:rPr>
            </w:pPr>
            <w:r w:rsidRPr="0009212F">
              <w:rPr>
                <w:color w:val="404040" w:themeColor="text1" w:themeTint="BF"/>
                <w:sz w:val="18"/>
                <w:szCs w:val="18"/>
                <w:lang w:val="en-AU"/>
              </w:rPr>
              <w:t xml:space="preserve">Part C of this Standard has no financial impact as it removes references to AASB 1031 </w:t>
            </w:r>
            <w:r w:rsidRPr="0009212F">
              <w:rPr>
                <w:i/>
                <w:color w:val="404040" w:themeColor="text1" w:themeTint="BF"/>
                <w:sz w:val="18"/>
                <w:szCs w:val="18"/>
                <w:lang w:val="en-AU"/>
              </w:rPr>
              <w:t>Materiality</w:t>
            </w:r>
            <w:r w:rsidRPr="0009212F">
              <w:rPr>
                <w:color w:val="404040" w:themeColor="text1" w:themeTint="BF"/>
                <w:sz w:val="18"/>
                <w:szCs w:val="18"/>
                <w:lang w:val="en-AU"/>
              </w:rPr>
              <w:t xml:space="preserve"> from a number of Accounting Standards.</w:t>
            </w:r>
          </w:p>
        </w:tc>
      </w:tr>
    </w:tbl>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Voluntary changes in accounting policy</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There were no voluntary changes to the accounting policy.</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Future impact of Australian Accounting Standards not yet operative</w:t>
      </w:r>
    </w:p>
    <w:p w:rsidR="0009212F" w:rsidRPr="0009212F" w:rsidRDefault="0009212F" w:rsidP="005049C0">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Commission cannot early adopt an Australian Accounting Standard unless specifically permitted by TI 1101 </w:t>
      </w:r>
      <w:r w:rsidRPr="0009212F">
        <w:rPr>
          <w:i/>
          <w:iCs/>
          <w:color w:val="404040" w:themeColor="text1" w:themeTint="BF"/>
          <w:sz w:val="18"/>
          <w:szCs w:val="18"/>
          <w:lang w:val="en-AU"/>
        </w:rPr>
        <w:t xml:space="preserve">Application of Australian Accounting Standards and Other Pronouncements </w:t>
      </w:r>
      <w:r w:rsidRPr="0009212F">
        <w:rPr>
          <w:iCs/>
          <w:color w:val="404040" w:themeColor="text1" w:themeTint="BF"/>
          <w:sz w:val="18"/>
          <w:szCs w:val="18"/>
          <w:lang w:val="en-AU"/>
        </w:rPr>
        <w:t>or by an exemption from TI 1101</w:t>
      </w:r>
      <w:r w:rsidRPr="0009212F">
        <w:rPr>
          <w:color w:val="404040" w:themeColor="text1" w:themeTint="BF"/>
          <w:sz w:val="18"/>
          <w:szCs w:val="18"/>
          <w:lang w:val="en-AU"/>
        </w:rPr>
        <w:t>. Consequently, the Commission has not applied early any of the following Australian Accounting Standards that have been issued that may impact the Commission. Where applicable, the Commission plans to apply these Australian Accounting Standards from their application date.</w:t>
      </w:r>
      <w:r w:rsidR="005049C0">
        <w:rPr>
          <w:color w:val="404040" w:themeColor="text1" w:themeTint="BF"/>
          <w:sz w:val="18"/>
          <w:szCs w:val="18"/>
          <w:lang w:val="en-AU"/>
        </w:rPr>
        <w:t xml:space="preserve"> </w:t>
      </w:r>
    </w:p>
    <w:tbl>
      <w:tblPr>
        <w:tblW w:w="9797" w:type="dxa"/>
        <w:tblCellSpacing w:w="0" w:type="dxa"/>
        <w:tblInd w:w="214" w:type="dxa"/>
        <w:tblLayout w:type="fixed"/>
        <w:tblCellMar>
          <w:left w:w="72" w:type="dxa"/>
          <w:right w:w="72" w:type="dxa"/>
        </w:tblCellMar>
        <w:tblLook w:val="01E0" w:firstRow="1" w:lastRow="1" w:firstColumn="1" w:lastColumn="1" w:noHBand="0" w:noVBand="0"/>
      </w:tblPr>
      <w:tblGrid>
        <w:gridCol w:w="1482"/>
        <w:gridCol w:w="6893"/>
        <w:gridCol w:w="1422"/>
      </w:tblGrid>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8315" w:type="dxa"/>
            <w:gridSpan w:val="2"/>
            <w:shd w:val="clear" w:color="auto" w:fill="auto"/>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b/>
                <w:bCs/>
                <w:color w:val="404040" w:themeColor="text1" w:themeTint="BF"/>
                <w:sz w:val="18"/>
                <w:szCs w:val="18"/>
                <w:lang w:val="en-AU"/>
              </w:rPr>
              <w:t>Operative for reporting periods beginning on/after</w:t>
            </w:r>
          </w:p>
        </w:tc>
      </w:tr>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9</w:t>
            </w:r>
          </w:p>
        </w:tc>
        <w:tc>
          <w:tcPr>
            <w:tcW w:w="6893" w:type="dxa"/>
            <w:shd w:val="clear" w:color="auto" w:fill="auto"/>
          </w:tcPr>
          <w:p w:rsidR="0009212F" w:rsidRPr="0009212F" w:rsidRDefault="0009212F" w:rsidP="00047F19">
            <w:pPr>
              <w:pStyle w:val="BodyCopy"/>
              <w:spacing w:before="40" w:after="40" w:line="160" w:lineRule="atLeast"/>
              <w:ind w:left="5" w:hanging="5"/>
              <w:rPr>
                <w:i/>
                <w:iCs/>
                <w:color w:val="404040" w:themeColor="text1" w:themeTint="BF"/>
                <w:sz w:val="18"/>
                <w:szCs w:val="18"/>
                <w:lang w:val="en-AU"/>
              </w:rPr>
            </w:pPr>
            <w:r w:rsidRPr="0009212F">
              <w:rPr>
                <w:i/>
                <w:iCs/>
                <w:color w:val="404040" w:themeColor="text1" w:themeTint="BF"/>
                <w:sz w:val="18"/>
                <w:szCs w:val="18"/>
                <w:lang w:val="en-AU"/>
              </w:rPr>
              <w:t>Financial Instruments</w:t>
            </w:r>
          </w:p>
          <w:p w:rsidR="0009212F" w:rsidRPr="0009212F" w:rsidRDefault="0009212F" w:rsidP="00047F19">
            <w:pPr>
              <w:pStyle w:val="BodyCopy"/>
              <w:spacing w:before="40" w:after="40" w:line="160" w:lineRule="atLeast"/>
              <w:ind w:left="5" w:hanging="5"/>
              <w:rPr>
                <w:color w:val="404040" w:themeColor="text1" w:themeTint="BF"/>
                <w:sz w:val="18"/>
                <w:szCs w:val="18"/>
                <w:lang w:val="en-AU"/>
              </w:rPr>
            </w:pPr>
            <w:r w:rsidRPr="0009212F">
              <w:rPr>
                <w:color w:val="404040" w:themeColor="text1" w:themeTint="BF"/>
                <w:sz w:val="18"/>
                <w:szCs w:val="18"/>
                <w:lang w:val="en-AU"/>
              </w:rPr>
              <w:t xml:space="preserve">This Standard supersedes AASB 139 </w:t>
            </w:r>
            <w:r w:rsidRPr="0009212F">
              <w:rPr>
                <w:i/>
                <w:color w:val="404040" w:themeColor="text1" w:themeTint="BF"/>
                <w:sz w:val="18"/>
                <w:szCs w:val="18"/>
                <w:lang w:val="en-AU"/>
              </w:rPr>
              <w:t>Financial Instruments: Recognition and Measurement</w:t>
            </w:r>
            <w:r w:rsidRPr="0009212F">
              <w:rPr>
                <w:color w:val="404040" w:themeColor="text1" w:themeTint="BF"/>
                <w:sz w:val="18"/>
                <w:szCs w:val="18"/>
                <w:lang w:val="en-AU"/>
              </w:rPr>
              <w:t>, introducing a number of changes to accounting treatments.</w:t>
            </w:r>
          </w:p>
          <w:p w:rsidR="0009212F" w:rsidRPr="0009212F" w:rsidRDefault="0009212F" w:rsidP="00047F19">
            <w:pPr>
              <w:pStyle w:val="BodyCopy"/>
              <w:spacing w:before="40" w:after="40" w:line="160" w:lineRule="atLeast"/>
              <w:ind w:left="5" w:hanging="5"/>
              <w:rPr>
                <w:color w:val="404040" w:themeColor="text1" w:themeTint="BF"/>
                <w:sz w:val="18"/>
                <w:szCs w:val="18"/>
                <w:lang w:val="en-AU"/>
              </w:rPr>
            </w:pPr>
            <w:r w:rsidRPr="0009212F">
              <w:rPr>
                <w:color w:val="404040" w:themeColor="text1" w:themeTint="BF"/>
                <w:sz w:val="18"/>
                <w:szCs w:val="18"/>
                <w:lang w:val="en-AU"/>
              </w:rPr>
              <w:t>The mandatory application date of this Standard is currently 1 January 2018 after being amended by AASB 2012-6, AASB 2013-9 and AASB 2014</w:t>
            </w:r>
            <w:r w:rsidRPr="0009212F">
              <w:rPr>
                <w:color w:val="404040" w:themeColor="text1" w:themeTint="BF"/>
                <w:sz w:val="18"/>
                <w:szCs w:val="18"/>
                <w:lang w:val="en-AU"/>
              </w:rPr>
              <w:noBreakHyphen/>
              <w:t xml:space="preserve">1 </w:t>
            </w:r>
            <w:r w:rsidRPr="0009212F">
              <w:rPr>
                <w:i/>
                <w:color w:val="404040" w:themeColor="text1" w:themeTint="BF"/>
                <w:sz w:val="18"/>
                <w:szCs w:val="18"/>
                <w:lang w:val="en-AU"/>
              </w:rPr>
              <w:t>Amendments to Australian Accounting Standards</w:t>
            </w:r>
            <w:r w:rsidRPr="0009212F">
              <w:rPr>
                <w:color w:val="404040" w:themeColor="text1" w:themeTint="BF"/>
                <w:sz w:val="18"/>
                <w:szCs w:val="18"/>
                <w:lang w:val="en-AU"/>
              </w:rPr>
              <w:t>.  The Commission has not yet determined the application or the potential impact of the Standard.</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Jan 2018</w:t>
            </w:r>
          </w:p>
        </w:tc>
      </w:tr>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15</w:t>
            </w:r>
          </w:p>
        </w:tc>
        <w:tc>
          <w:tcPr>
            <w:tcW w:w="6893" w:type="dxa"/>
            <w:shd w:val="clear" w:color="auto" w:fill="auto"/>
          </w:tcPr>
          <w:p w:rsidR="0009212F" w:rsidRPr="0009212F" w:rsidRDefault="0009212F" w:rsidP="00047F19">
            <w:pPr>
              <w:pStyle w:val="BodyCopy"/>
              <w:spacing w:before="40" w:after="40" w:line="160" w:lineRule="atLeast"/>
              <w:ind w:left="5" w:hanging="5"/>
              <w:rPr>
                <w:i/>
                <w:iCs/>
                <w:color w:val="404040" w:themeColor="text1" w:themeTint="BF"/>
                <w:sz w:val="18"/>
                <w:szCs w:val="18"/>
                <w:lang w:val="en-AU"/>
              </w:rPr>
            </w:pPr>
            <w:r w:rsidRPr="0009212F">
              <w:rPr>
                <w:i/>
                <w:iCs/>
                <w:color w:val="404040" w:themeColor="text1" w:themeTint="BF"/>
                <w:sz w:val="18"/>
                <w:szCs w:val="18"/>
                <w:lang w:val="en-AU"/>
              </w:rPr>
              <w:t>Revenue from Contracts with Customers</w:t>
            </w:r>
          </w:p>
          <w:p w:rsidR="0009212F" w:rsidRPr="0009212F" w:rsidRDefault="0009212F" w:rsidP="00047F19">
            <w:pPr>
              <w:pStyle w:val="BodyCopy"/>
              <w:spacing w:before="40" w:after="40" w:line="160" w:lineRule="atLeast"/>
              <w:ind w:left="5" w:hanging="5"/>
              <w:rPr>
                <w:iCs/>
                <w:color w:val="404040" w:themeColor="text1" w:themeTint="BF"/>
                <w:sz w:val="18"/>
                <w:szCs w:val="18"/>
                <w:lang w:val="en-AU"/>
              </w:rPr>
            </w:pPr>
            <w:r w:rsidRPr="0009212F">
              <w:rPr>
                <w:iCs/>
                <w:color w:val="404040" w:themeColor="text1" w:themeTint="BF"/>
                <w:sz w:val="18"/>
                <w:szCs w:val="18"/>
                <w:lang w:val="en-AU"/>
              </w:rPr>
              <w:t>This Standard establishes the principles that the Commission shall apply to report useful information to users of financial statements about the nature, amount, timing and uncertainty of revenue and cash flows arising from a contract with a customer. The Commission has not yet determined the application or the potential impact of the Standard</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Jan 2017</w:t>
            </w:r>
          </w:p>
        </w:tc>
      </w:tr>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2010-7</w:t>
            </w:r>
          </w:p>
        </w:tc>
        <w:tc>
          <w:tcPr>
            <w:tcW w:w="6893" w:type="dxa"/>
            <w:shd w:val="clear" w:color="auto" w:fill="auto"/>
          </w:tcPr>
          <w:p w:rsidR="0009212F" w:rsidRPr="0009212F" w:rsidRDefault="0009212F" w:rsidP="00047F19">
            <w:pPr>
              <w:pStyle w:val="BodyCopy"/>
              <w:spacing w:before="40" w:after="40" w:line="160" w:lineRule="atLeast"/>
              <w:ind w:left="5" w:hanging="5"/>
              <w:rPr>
                <w:i/>
                <w:iCs/>
                <w:color w:val="404040" w:themeColor="text1" w:themeTint="BF"/>
                <w:sz w:val="18"/>
                <w:szCs w:val="18"/>
                <w:lang w:val="en-AU"/>
              </w:rPr>
            </w:pPr>
            <w:r w:rsidRPr="0009212F">
              <w:rPr>
                <w:i/>
                <w:iCs/>
                <w:color w:val="404040" w:themeColor="text1" w:themeTint="BF"/>
                <w:sz w:val="18"/>
                <w:szCs w:val="18"/>
                <w:lang w:val="en-AU"/>
              </w:rPr>
              <w:t xml:space="preserve">Amendments to Australian Accounting Standards arising from AASB 9 (December 2010) [AASB 1, 3, 4, 5, 7, 101, 102, 108, 112, 118, 120, 121, 127, 128, 131, 132, 136,137,  139, 1023 &amp; 1038 and </w:t>
            </w:r>
            <w:proofErr w:type="spellStart"/>
            <w:r w:rsidRPr="0009212F">
              <w:rPr>
                <w:i/>
                <w:iCs/>
                <w:color w:val="404040" w:themeColor="text1" w:themeTint="BF"/>
                <w:sz w:val="18"/>
                <w:szCs w:val="18"/>
                <w:lang w:val="en-AU"/>
              </w:rPr>
              <w:t>Int</w:t>
            </w:r>
            <w:proofErr w:type="spellEnd"/>
            <w:r w:rsidRPr="0009212F">
              <w:rPr>
                <w:i/>
                <w:iCs/>
                <w:color w:val="404040" w:themeColor="text1" w:themeTint="BF"/>
                <w:sz w:val="18"/>
                <w:szCs w:val="18"/>
                <w:lang w:val="en-AU"/>
              </w:rPr>
              <w:t> 2, 5, 10, 12, 19 &amp; 127]</w:t>
            </w:r>
          </w:p>
          <w:p w:rsidR="0009212F" w:rsidRPr="0009212F" w:rsidRDefault="0009212F" w:rsidP="00047F19">
            <w:pPr>
              <w:pStyle w:val="BodyCopy"/>
              <w:spacing w:before="40" w:after="40" w:line="160" w:lineRule="atLeast"/>
              <w:ind w:left="5" w:hanging="5"/>
              <w:rPr>
                <w:iCs/>
                <w:color w:val="404040" w:themeColor="text1" w:themeTint="BF"/>
                <w:sz w:val="18"/>
                <w:szCs w:val="18"/>
                <w:lang w:val="en-AU"/>
              </w:rPr>
            </w:pPr>
            <w:r w:rsidRPr="0009212F">
              <w:rPr>
                <w:iCs/>
                <w:color w:val="404040" w:themeColor="text1" w:themeTint="BF"/>
                <w:sz w:val="18"/>
                <w:szCs w:val="18"/>
                <w:lang w:val="en-AU"/>
              </w:rPr>
              <w:lastRenderedPageBreak/>
              <w:t>This Standard makes consequential amendments to other Australian Accounting Standards and Interpretations as a result of issuing AASB 9 in December 2010.</w:t>
            </w:r>
          </w:p>
          <w:p w:rsidR="0009212F" w:rsidRPr="0009212F" w:rsidRDefault="0009212F" w:rsidP="00047F19">
            <w:pPr>
              <w:pStyle w:val="BodyCopy"/>
              <w:spacing w:before="40" w:after="40" w:line="160" w:lineRule="atLeast"/>
              <w:ind w:left="5" w:hanging="5"/>
              <w:rPr>
                <w:iCs/>
                <w:color w:val="404040" w:themeColor="text1" w:themeTint="BF"/>
                <w:sz w:val="18"/>
                <w:szCs w:val="18"/>
                <w:lang w:val="en-AU"/>
              </w:rPr>
            </w:pPr>
            <w:r w:rsidRPr="0009212F">
              <w:rPr>
                <w:iCs/>
                <w:color w:val="404040" w:themeColor="text1" w:themeTint="BF"/>
                <w:sz w:val="18"/>
                <w:szCs w:val="18"/>
                <w:lang w:val="en-AU"/>
              </w:rPr>
              <w:t>The mandatory application date of this Standard has been amended by AASB 2012-6 and AASB 2014-1 to 1 January 2018. The Commission has not yet determined the application or the potential impact of the Standard.</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lastRenderedPageBreak/>
              <w:t>1 Jan 2018</w:t>
            </w:r>
          </w:p>
        </w:tc>
      </w:tr>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lastRenderedPageBreak/>
              <w:t>AASB 2013-9</w:t>
            </w:r>
          </w:p>
        </w:tc>
        <w:tc>
          <w:tcPr>
            <w:tcW w:w="6893" w:type="dxa"/>
            <w:shd w:val="clear" w:color="auto" w:fill="auto"/>
          </w:tcPr>
          <w:p w:rsidR="0009212F" w:rsidRPr="0009212F" w:rsidRDefault="0009212F" w:rsidP="00047F19">
            <w:pPr>
              <w:pStyle w:val="BodyCopy"/>
              <w:spacing w:before="40" w:after="40" w:line="160" w:lineRule="atLeast"/>
              <w:ind w:left="5" w:hanging="5"/>
              <w:rPr>
                <w:i/>
                <w:color w:val="404040" w:themeColor="text1" w:themeTint="BF"/>
                <w:sz w:val="18"/>
                <w:szCs w:val="18"/>
                <w:lang w:val="en-AU"/>
              </w:rPr>
            </w:pPr>
            <w:r w:rsidRPr="0009212F">
              <w:rPr>
                <w:i/>
                <w:color w:val="404040" w:themeColor="text1" w:themeTint="BF"/>
                <w:sz w:val="18"/>
                <w:szCs w:val="18"/>
                <w:lang w:val="en-AU"/>
              </w:rPr>
              <w:t>Amendments to Australian Accounting Standards   Conceptual Framework, Materiality and Financial Instruments.</w:t>
            </w:r>
          </w:p>
          <w:p w:rsidR="0009212F" w:rsidRPr="0009212F" w:rsidRDefault="0009212F" w:rsidP="00047F19">
            <w:pPr>
              <w:pStyle w:val="BodyCopy"/>
              <w:spacing w:before="40" w:after="40" w:line="160" w:lineRule="atLeast"/>
              <w:ind w:left="5" w:hanging="5"/>
              <w:rPr>
                <w:color w:val="404040" w:themeColor="text1" w:themeTint="BF"/>
                <w:sz w:val="18"/>
                <w:szCs w:val="18"/>
                <w:lang w:val="en-AU"/>
              </w:rPr>
            </w:pPr>
            <w:r w:rsidRPr="0009212F">
              <w:rPr>
                <w:color w:val="404040" w:themeColor="text1" w:themeTint="BF"/>
                <w:sz w:val="18"/>
                <w:szCs w:val="18"/>
                <w:lang w:val="en-AU"/>
              </w:rPr>
              <w:t>Part C of this omnibus Standard defers the application of AASB 9 to 1 January 2017. The application date of AASB 9 was subsequently deferred to 1 January 2018 by AASB 2014-1. The Commission has not yet determined the application or the potential impact of AASB 9.</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Jan 2015</w:t>
            </w:r>
          </w:p>
        </w:tc>
      </w:tr>
      <w:tr w:rsidR="0009212F" w:rsidRPr="0009212F" w:rsidTr="0009212F">
        <w:trPr>
          <w:trHeight w:val="1138"/>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2014-1</w:t>
            </w:r>
          </w:p>
        </w:tc>
        <w:tc>
          <w:tcPr>
            <w:tcW w:w="6893" w:type="dxa"/>
            <w:shd w:val="clear" w:color="auto" w:fill="auto"/>
          </w:tcPr>
          <w:p w:rsidR="0009212F" w:rsidRPr="0009212F" w:rsidRDefault="0009212F" w:rsidP="00047F19">
            <w:pPr>
              <w:pStyle w:val="BodyCopy"/>
              <w:spacing w:before="40" w:after="40" w:line="160" w:lineRule="atLeast"/>
              <w:ind w:left="5" w:hanging="5"/>
              <w:rPr>
                <w:i/>
                <w:iCs/>
                <w:color w:val="404040" w:themeColor="text1" w:themeTint="BF"/>
                <w:sz w:val="18"/>
                <w:szCs w:val="18"/>
                <w:lang w:val="en-AU"/>
              </w:rPr>
            </w:pPr>
            <w:r w:rsidRPr="0009212F">
              <w:rPr>
                <w:i/>
                <w:iCs/>
                <w:color w:val="404040" w:themeColor="text1" w:themeTint="BF"/>
                <w:sz w:val="18"/>
                <w:szCs w:val="18"/>
                <w:lang w:val="en-AU"/>
              </w:rPr>
              <w:t>Amendments to Australian Accounting Standards</w:t>
            </w:r>
          </w:p>
          <w:p w:rsidR="0009212F" w:rsidRPr="0009212F" w:rsidRDefault="0009212F" w:rsidP="00047F19">
            <w:pPr>
              <w:pStyle w:val="BodyCopy"/>
              <w:spacing w:before="40" w:after="40" w:line="160" w:lineRule="atLeast"/>
              <w:ind w:left="5" w:hanging="5"/>
              <w:rPr>
                <w:color w:val="404040" w:themeColor="text1" w:themeTint="BF"/>
                <w:sz w:val="18"/>
                <w:szCs w:val="18"/>
                <w:lang w:val="en-AU"/>
              </w:rPr>
            </w:pPr>
            <w:r w:rsidRPr="0009212F">
              <w:rPr>
                <w:color w:val="404040" w:themeColor="text1" w:themeTint="BF"/>
                <w:sz w:val="18"/>
                <w:szCs w:val="18"/>
                <w:lang w:val="en-AU"/>
              </w:rPr>
              <w:t>Part E of this Standard makes amendments to AASB 9 and consequential amendments to other Standards. It has not yet been assessed by the Commission to determine the application or potential impact of the Standard.</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Jan 2015</w:t>
            </w:r>
          </w:p>
        </w:tc>
      </w:tr>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2014-4</w:t>
            </w:r>
          </w:p>
        </w:tc>
        <w:tc>
          <w:tcPr>
            <w:tcW w:w="6893" w:type="dxa"/>
            <w:shd w:val="clear" w:color="auto" w:fill="auto"/>
          </w:tcPr>
          <w:p w:rsidR="0009212F" w:rsidRPr="0009212F" w:rsidRDefault="0009212F" w:rsidP="00047F19">
            <w:pPr>
              <w:pStyle w:val="BodyCopy"/>
              <w:spacing w:before="40" w:after="40" w:line="160" w:lineRule="atLeast"/>
              <w:ind w:left="5" w:hanging="5"/>
              <w:rPr>
                <w:i/>
                <w:iCs/>
                <w:color w:val="404040" w:themeColor="text1" w:themeTint="BF"/>
                <w:sz w:val="18"/>
                <w:szCs w:val="18"/>
                <w:lang w:val="en-AU"/>
              </w:rPr>
            </w:pPr>
            <w:r w:rsidRPr="0009212F">
              <w:rPr>
                <w:i/>
                <w:iCs/>
                <w:color w:val="404040" w:themeColor="text1" w:themeTint="BF"/>
                <w:sz w:val="18"/>
                <w:szCs w:val="18"/>
                <w:lang w:val="en-AU"/>
              </w:rPr>
              <w:t>Amendments to Australian Accounting Standards – Clarification of Acceptable Method of Depreciation and Amortisation [AASB 116 &amp; 138]</w:t>
            </w:r>
          </w:p>
          <w:p w:rsidR="0009212F" w:rsidRPr="0009212F" w:rsidRDefault="0009212F" w:rsidP="00047F19">
            <w:pPr>
              <w:pStyle w:val="BodyCopy"/>
              <w:spacing w:before="40" w:after="40" w:line="160" w:lineRule="atLeast"/>
              <w:ind w:left="5" w:hanging="5"/>
              <w:rPr>
                <w:color w:val="404040" w:themeColor="text1" w:themeTint="BF"/>
                <w:sz w:val="18"/>
                <w:szCs w:val="18"/>
                <w:lang w:val="en-AU"/>
              </w:rPr>
            </w:pPr>
            <w:r w:rsidRPr="0009212F">
              <w:rPr>
                <w:color w:val="404040" w:themeColor="text1" w:themeTint="BF"/>
                <w:sz w:val="18"/>
                <w:szCs w:val="18"/>
                <w:lang w:val="en-AU"/>
              </w:rPr>
              <w:t>This adoption of this Standard has no financial impact for the Commission as depreciation and amortisation is not determined by reference to revenue generation, but by reference to consumption of future economic benefit.</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Jul 2016</w:t>
            </w:r>
          </w:p>
        </w:tc>
      </w:tr>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2014-5</w:t>
            </w:r>
          </w:p>
        </w:tc>
        <w:tc>
          <w:tcPr>
            <w:tcW w:w="6893" w:type="dxa"/>
            <w:shd w:val="clear" w:color="auto" w:fill="auto"/>
          </w:tcPr>
          <w:p w:rsidR="0009212F" w:rsidRPr="0009212F" w:rsidRDefault="0009212F" w:rsidP="00047F19">
            <w:pPr>
              <w:pStyle w:val="BodyCopy"/>
              <w:spacing w:before="40" w:after="40" w:line="160" w:lineRule="atLeast"/>
              <w:rPr>
                <w:i/>
                <w:iCs/>
                <w:color w:val="404040" w:themeColor="text1" w:themeTint="BF"/>
                <w:sz w:val="18"/>
                <w:szCs w:val="18"/>
                <w:lang w:val="en-AU"/>
              </w:rPr>
            </w:pPr>
            <w:r w:rsidRPr="0009212F">
              <w:rPr>
                <w:i/>
                <w:iCs/>
                <w:color w:val="404040" w:themeColor="text1" w:themeTint="BF"/>
                <w:sz w:val="18"/>
                <w:szCs w:val="18"/>
                <w:lang w:val="en-AU"/>
              </w:rPr>
              <w:t>Amendments to Australian Accounting Standards arising from AASB 15</w:t>
            </w:r>
          </w:p>
          <w:p w:rsidR="00047F19" w:rsidRPr="0009212F" w:rsidRDefault="0009212F" w:rsidP="00047F19">
            <w:pPr>
              <w:pStyle w:val="BodyCopy"/>
              <w:spacing w:before="40" w:after="40" w:line="160" w:lineRule="atLeast"/>
              <w:rPr>
                <w:iCs/>
                <w:color w:val="404040" w:themeColor="text1" w:themeTint="BF"/>
                <w:sz w:val="18"/>
                <w:szCs w:val="18"/>
                <w:lang w:val="en-AU"/>
              </w:rPr>
            </w:pPr>
            <w:r w:rsidRPr="0009212F">
              <w:rPr>
                <w:iCs/>
                <w:color w:val="404040" w:themeColor="text1" w:themeTint="BF"/>
                <w:sz w:val="18"/>
                <w:szCs w:val="18"/>
                <w:lang w:val="en-AU"/>
              </w:rPr>
              <w:t xml:space="preserve">This Standard gives effect to the consequential amendments to Australian Accounting Standards (including Interpretations) arising from the issuance of AASB 15. The Commission has not yet determined the application or the potential impact of the Standard. </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Jan 2017</w:t>
            </w:r>
          </w:p>
        </w:tc>
      </w:tr>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2014-7</w:t>
            </w:r>
          </w:p>
        </w:tc>
        <w:tc>
          <w:tcPr>
            <w:tcW w:w="6893" w:type="dxa"/>
            <w:shd w:val="clear" w:color="auto" w:fill="auto"/>
          </w:tcPr>
          <w:p w:rsidR="0009212F" w:rsidRPr="0009212F" w:rsidRDefault="0009212F" w:rsidP="00047F19">
            <w:pPr>
              <w:pStyle w:val="BodyCopy"/>
              <w:spacing w:before="40" w:after="40" w:line="160" w:lineRule="atLeast"/>
              <w:rPr>
                <w:i/>
                <w:iCs/>
                <w:color w:val="404040" w:themeColor="text1" w:themeTint="BF"/>
                <w:sz w:val="18"/>
                <w:szCs w:val="18"/>
                <w:lang w:val="en-AU"/>
              </w:rPr>
            </w:pPr>
            <w:r w:rsidRPr="0009212F">
              <w:rPr>
                <w:i/>
                <w:iCs/>
                <w:color w:val="404040" w:themeColor="text1" w:themeTint="BF"/>
                <w:sz w:val="18"/>
                <w:szCs w:val="18"/>
                <w:lang w:val="en-AU"/>
              </w:rPr>
              <w:t>Amendments to Australian Accounting Standards arising from AASB 9 (December 2014)</w:t>
            </w:r>
          </w:p>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This Standard gives effect to the consequential amendments to Australian Accounting Standards (including Interpretations) arising from the issuance of AASB 9 (December 2014). The Commission has not yet determined the application or the potential impact of the Standard.</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Jan 2018</w:t>
            </w:r>
          </w:p>
        </w:tc>
      </w:tr>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2014-8</w:t>
            </w:r>
          </w:p>
        </w:tc>
        <w:tc>
          <w:tcPr>
            <w:tcW w:w="6893" w:type="dxa"/>
            <w:shd w:val="clear" w:color="auto" w:fill="auto"/>
          </w:tcPr>
          <w:p w:rsidR="0009212F" w:rsidRPr="0009212F" w:rsidRDefault="0009212F" w:rsidP="00047F19">
            <w:pPr>
              <w:pStyle w:val="BodyCopy"/>
              <w:spacing w:before="40" w:after="40" w:line="160" w:lineRule="atLeast"/>
              <w:ind w:left="5" w:hanging="5"/>
              <w:rPr>
                <w:i/>
                <w:iCs/>
                <w:color w:val="404040" w:themeColor="text1" w:themeTint="BF"/>
                <w:sz w:val="18"/>
                <w:szCs w:val="18"/>
                <w:lang w:val="en-AU"/>
              </w:rPr>
            </w:pPr>
            <w:r w:rsidRPr="0009212F">
              <w:rPr>
                <w:i/>
                <w:iCs/>
                <w:color w:val="404040" w:themeColor="text1" w:themeTint="BF"/>
                <w:sz w:val="18"/>
                <w:szCs w:val="18"/>
                <w:lang w:val="en-AU"/>
              </w:rPr>
              <w:t xml:space="preserve">Amendments to the Australian Accounting Standards arising from AASB 9 (December 2014) – Application of AASB 9 (December 2009) and AASB 9 (December 2010) [AASB 9 (2009 &amp; 2010)].  </w:t>
            </w:r>
          </w:p>
          <w:p w:rsidR="0009212F" w:rsidRPr="0009212F" w:rsidRDefault="0009212F" w:rsidP="00047F19">
            <w:pPr>
              <w:pStyle w:val="BodyCopy"/>
              <w:spacing w:before="40" w:after="40" w:line="160" w:lineRule="atLeast"/>
              <w:ind w:left="5" w:hanging="5"/>
              <w:rPr>
                <w:color w:val="404040" w:themeColor="text1" w:themeTint="BF"/>
                <w:sz w:val="18"/>
                <w:szCs w:val="18"/>
                <w:lang w:val="en-AU"/>
              </w:rPr>
            </w:pPr>
            <w:r w:rsidRPr="0009212F">
              <w:rPr>
                <w:color w:val="404040" w:themeColor="text1" w:themeTint="BF"/>
                <w:sz w:val="18"/>
                <w:szCs w:val="18"/>
                <w:lang w:val="en-AU"/>
              </w:rPr>
              <w:t xml:space="preserve">This Standard makes amendments to AASB 9 </w:t>
            </w:r>
            <w:r w:rsidRPr="0009212F">
              <w:rPr>
                <w:i/>
                <w:color w:val="404040" w:themeColor="text1" w:themeTint="BF"/>
                <w:sz w:val="18"/>
                <w:szCs w:val="18"/>
                <w:lang w:val="en-AU"/>
              </w:rPr>
              <w:t>Financial Instruments</w:t>
            </w:r>
            <w:r w:rsidRPr="0009212F">
              <w:rPr>
                <w:color w:val="404040" w:themeColor="text1" w:themeTint="BF"/>
                <w:sz w:val="18"/>
                <w:szCs w:val="18"/>
                <w:lang w:val="en-AU"/>
              </w:rPr>
              <w:t xml:space="preserve"> (December 2009) and AASB 9 </w:t>
            </w:r>
            <w:r w:rsidRPr="0009212F">
              <w:rPr>
                <w:i/>
                <w:color w:val="404040" w:themeColor="text1" w:themeTint="BF"/>
                <w:sz w:val="18"/>
                <w:szCs w:val="18"/>
                <w:lang w:val="en-AU"/>
              </w:rPr>
              <w:t>Financial Instruments</w:t>
            </w:r>
            <w:r w:rsidRPr="0009212F">
              <w:rPr>
                <w:color w:val="404040" w:themeColor="text1" w:themeTint="BF"/>
                <w:sz w:val="18"/>
                <w:szCs w:val="18"/>
                <w:lang w:val="en-AU"/>
              </w:rPr>
              <w:t xml:space="preserve"> (December 2010), arising from the issuance of AASB 9 </w:t>
            </w:r>
            <w:r w:rsidRPr="0009212F">
              <w:rPr>
                <w:i/>
                <w:color w:val="404040" w:themeColor="text1" w:themeTint="BF"/>
                <w:sz w:val="18"/>
                <w:szCs w:val="18"/>
                <w:lang w:val="en-AU"/>
              </w:rPr>
              <w:t>Financial Instruments</w:t>
            </w:r>
            <w:r w:rsidRPr="0009212F">
              <w:rPr>
                <w:color w:val="404040" w:themeColor="text1" w:themeTint="BF"/>
                <w:sz w:val="18"/>
                <w:szCs w:val="18"/>
                <w:lang w:val="en-AU"/>
              </w:rPr>
              <w:t xml:space="preserve"> in December 2014. The Commission has not yet determined the application of the potential impact of the Standard.</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Jan 2015</w:t>
            </w:r>
          </w:p>
        </w:tc>
      </w:tr>
      <w:tr w:rsidR="0009212F" w:rsidRPr="0009212F" w:rsidTr="005049C0">
        <w:trPr>
          <w:trHeight w:val="1138"/>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2015-1</w:t>
            </w:r>
          </w:p>
        </w:tc>
        <w:tc>
          <w:tcPr>
            <w:tcW w:w="6893" w:type="dxa"/>
            <w:shd w:val="clear" w:color="auto" w:fill="auto"/>
          </w:tcPr>
          <w:p w:rsidR="0009212F" w:rsidRPr="0009212F" w:rsidRDefault="0009212F" w:rsidP="00047F19">
            <w:pPr>
              <w:pStyle w:val="BodyCopy"/>
              <w:spacing w:before="40" w:after="40" w:line="160" w:lineRule="atLeast"/>
              <w:ind w:left="5" w:hanging="5"/>
              <w:rPr>
                <w:i/>
                <w:color w:val="404040" w:themeColor="text1" w:themeTint="BF"/>
                <w:sz w:val="18"/>
                <w:szCs w:val="18"/>
                <w:lang w:val="en-AU"/>
              </w:rPr>
            </w:pPr>
            <w:r w:rsidRPr="0009212F">
              <w:rPr>
                <w:i/>
                <w:color w:val="404040" w:themeColor="text1" w:themeTint="BF"/>
                <w:sz w:val="18"/>
                <w:szCs w:val="18"/>
                <w:lang w:val="en-AU"/>
              </w:rPr>
              <w:t>Amendments to Australian Accounting Standards – Annual Improvements to Australian Accounting Standards 2012-2014 Cycle [AASB 1, 2, 3, 5, 7, 11, 110, 119, 121, 133, 134, 137 &amp; 140]</w:t>
            </w:r>
          </w:p>
          <w:p w:rsidR="0009212F" w:rsidRPr="0009212F" w:rsidRDefault="0009212F" w:rsidP="00047F19">
            <w:pPr>
              <w:pStyle w:val="BodyCopy"/>
              <w:spacing w:before="40" w:after="40" w:line="160" w:lineRule="atLeast"/>
              <w:ind w:left="5" w:hanging="5"/>
              <w:rPr>
                <w:color w:val="404040" w:themeColor="text1" w:themeTint="BF"/>
                <w:sz w:val="18"/>
                <w:szCs w:val="18"/>
                <w:lang w:val="en-AU"/>
              </w:rPr>
            </w:pPr>
            <w:r w:rsidRPr="0009212F">
              <w:rPr>
                <w:color w:val="404040" w:themeColor="text1" w:themeTint="BF"/>
                <w:sz w:val="18"/>
                <w:szCs w:val="18"/>
                <w:lang w:val="en-AU"/>
              </w:rPr>
              <w:t>These amendments arise from the issuance of International Financial Reporting Standard Annual Improvements to IFRSs 2012-2014 Cycle in September 2014, and editorial corrections. The Commission has determined that the application of the Standard has no financial impact.</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Jan 2016</w:t>
            </w:r>
          </w:p>
        </w:tc>
      </w:tr>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2015-2</w:t>
            </w:r>
          </w:p>
        </w:tc>
        <w:tc>
          <w:tcPr>
            <w:tcW w:w="6893" w:type="dxa"/>
            <w:shd w:val="clear" w:color="auto" w:fill="auto"/>
          </w:tcPr>
          <w:p w:rsidR="0009212F" w:rsidRPr="0009212F" w:rsidRDefault="0009212F" w:rsidP="00047F19">
            <w:pPr>
              <w:pStyle w:val="BodyCopy"/>
              <w:spacing w:before="40" w:after="40" w:line="160" w:lineRule="atLeast"/>
              <w:ind w:left="5" w:hanging="5"/>
              <w:rPr>
                <w:i/>
                <w:iCs/>
                <w:color w:val="404040" w:themeColor="text1" w:themeTint="BF"/>
                <w:sz w:val="18"/>
                <w:szCs w:val="18"/>
                <w:lang w:val="en-AU"/>
              </w:rPr>
            </w:pPr>
            <w:r w:rsidRPr="0009212F">
              <w:rPr>
                <w:i/>
                <w:iCs/>
                <w:color w:val="404040" w:themeColor="text1" w:themeTint="BF"/>
                <w:sz w:val="18"/>
                <w:szCs w:val="18"/>
                <w:lang w:val="en-AU"/>
              </w:rPr>
              <w:t>Amendments to Australian Accounting Standards – Disclosure Initiative: Amendments to AASB 101 [AASB 7, 101, 134 &amp; 1049]</w:t>
            </w:r>
          </w:p>
          <w:p w:rsidR="0009212F" w:rsidRPr="0009212F" w:rsidRDefault="0009212F" w:rsidP="00047F19">
            <w:pPr>
              <w:pStyle w:val="BodyCopy"/>
              <w:spacing w:before="40" w:after="40" w:line="160" w:lineRule="atLeast"/>
              <w:ind w:left="5" w:hanging="5"/>
              <w:rPr>
                <w:color w:val="404040" w:themeColor="text1" w:themeTint="BF"/>
                <w:sz w:val="18"/>
                <w:szCs w:val="18"/>
                <w:lang w:val="en-AU"/>
              </w:rPr>
            </w:pPr>
            <w:r w:rsidRPr="0009212F">
              <w:rPr>
                <w:color w:val="404040" w:themeColor="text1" w:themeTint="BF"/>
                <w:sz w:val="18"/>
                <w:szCs w:val="18"/>
                <w:lang w:val="en-AU"/>
              </w:rPr>
              <w:t>This Standard amends AASB 101 to provide clarification regarding the disclosure requirements in AASB 101. Specifically, the Standard proposes narrow-focus amendments to address some of the concerns expressed about existing presentation and disclosure requirements and to ensure entities are able to use judgement when applying a Standard in determining what information to disclose in their financial statements. There is no financial impact.</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Jul 2016</w:t>
            </w:r>
          </w:p>
        </w:tc>
      </w:tr>
      <w:tr w:rsidR="0009212F" w:rsidRPr="0009212F" w:rsidTr="0009212F">
        <w:trPr>
          <w:tblCellSpacing w:w="0" w:type="dxa"/>
        </w:trPr>
        <w:tc>
          <w:tcPr>
            <w:tcW w:w="1482" w:type="dxa"/>
            <w:shd w:val="clear" w:color="auto" w:fill="auto"/>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AASB 2015-3</w:t>
            </w:r>
          </w:p>
        </w:tc>
        <w:tc>
          <w:tcPr>
            <w:tcW w:w="6893" w:type="dxa"/>
            <w:shd w:val="clear" w:color="auto" w:fill="auto"/>
          </w:tcPr>
          <w:p w:rsidR="0009212F" w:rsidRPr="0009212F" w:rsidRDefault="0009212F" w:rsidP="00047F19">
            <w:pPr>
              <w:pStyle w:val="BodyCopy"/>
              <w:spacing w:before="40" w:after="40" w:line="160" w:lineRule="atLeast"/>
              <w:ind w:left="5" w:hanging="5"/>
              <w:rPr>
                <w:i/>
                <w:iCs/>
                <w:color w:val="404040" w:themeColor="text1" w:themeTint="BF"/>
                <w:sz w:val="18"/>
                <w:szCs w:val="18"/>
                <w:lang w:val="en-AU"/>
              </w:rPr>
            </w:pPr>
            <w:r w:rsidRPr="0009212F">
              <w:rPr>
                <w:i/>
                <w:iCs/>
                <w:color w:val="404040" w:themeColor="text1" w:themeTint="BF"/>
                <w:sz w:val="18"/>
                <w:szCs w:val="18"/>
                <w:lang w:val="en-AU"/>
              </w:rPr>
              <w:t>Amendments to Australian Accounting Standards arising from the Withdrawal of AASB 1031 Materiality</w:t>
            </w:r>
          </w:p>
          <w:p w:rsidR="0009212F" w:rsidRPr="0009212F" w:rsidRDefault="0009212F" w:rsidP="00047F19">
            <w:pPr>
              <w:pStyle w:val="BodyCopy"/>
              <w:spacing w:before="40" w:after="40" w:line="160" w:lineRule="atLeast"/>
              <w:ind w:left="5" w:hanging="5"/>
              <w:rPr>
                <w:color w:val="404040" w:themeColor="text1" w:themeTint="BF"/>
                <w:sz w:val="18"/>
                <w:szCs w:val="18"/>
                <w:lang w:val="en-AU"/>
              </w:rPr>
            </w:pPr>
            <w:r w:rsidRPr="0009212F">
              <w:rPr>
                <w:color w:val="404040" w:themeColor="text1" w:themeTint="BF"/>
                <w:sz w:val="18"/>
                <w:szCs w:val="18"/>
                <w:lang w:val="en-AU"/>
              </w:rPr>
              <w:t>This Standard completes the withdrawal of references to AASB 1031 in all Australian Accounting Standards and Interpretations, allowing that Standard to effectively be withdrawn. There is no financial impact.</w:t>
            </w:r>
          </w:p>
        </w:tc>
        <w:tc>
          <w:tcPr>
            <w:tcW w:w="1422" w:type="dxa"/>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 Jul 2015</w:t>
            </w:r>
          </w:p>
        </w:tc>
      </w:tr>
    </w:tbl>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Changes in accounting estimates</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There were no changes in accounting estimates that will have an effect on the current reporting period. </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0776" w:type="dxa"/>
        <w:tblInd w:w="108" w:type="dxa"/>
        <w:tblLook w:val="04A0" w:firstRow="1" w:lastRow="0" w:firstColumn="1" w:lastColumn="0" w:noHBand="0" w:noVBand="1"/>
      </w:tblPr>
      <w:tblGrid>
        <w:gridCol w:w="782"/>
        <w:gridCol w:w="557"/>
        <w:gridCol w:w="5324"/>
        <w:gridCol w:w="1428"/>
        <w:gridCol w:w="1268"/>
        <w:gridCol w:w="1417"/>
      </w:tblGrid>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9994" w:type="dxa"/>
            <w:gridSpan w:val="5"/>
            <w:tcBorders>
              <w:top w:val="nil"/>
              <w:left w:val="nil"/>
              <w:bottom w:val="nil"/>
              <w:right w:val="nil"/>
            </w:tcBorders>
            <w:shd w:val="clear" w:color="auto" w:fill="auto"/>
            <w:noWrap/>
            <w:vAlign w:val="bottom"/>
            <w:hideMark/>
          </w:tcPr>
          <w:p w:rsidR="0009212F" w:rsidRPr="0009212F" w:rsidRDefault="0009212F" w:rsidP="00047F19">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Western Australian Electoral Commission - 30 June 2015</w:t>
            </w:r>
          </w:p>
        </w:tc>
      </w:tr>
      <w:tr w:rsidR="0009212F" w:rsidRPr="0009212F" w:rsidTr="0009212F">
        <w:trPr>
          <w:trHeight w:val="33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6.</w:t>
            </w: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Employee benefits expense</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09212F">
        <w:trPr>
          <w:trHeight w:val="31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trHeight w:val="31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285"/>
        </w:trPr>
        <w:tc>
          <w:tcPr>
            <w:tcW w:w="666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Wages and salaries</w:t>
            </w:r>
            <w:r w:rsidRPr="0009212F">
              <w:rPr>
                <w:color w:val="404040" w:themeColor="text1" w:themeTint="BF"/>
                <w:sz w:val="18"/>
                <w:szCs w:val="18"/>
                <w:vertAlign w:val="superscript"/>
                <w:lang w:val="en-AU"/>
              </w:rPr>
              <w:t xml:space="preserve">(a)(c) </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4,574</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5,214</w:t>
            </w:r>
          </w:p>
        </w:tc>
      </w:tr>
      <w:tr w:rsidR="0009212F" w:rsidRPr="0009212F" w:rsidTr="0009212F">
        <w:trPr>
          <w:trHeight w:val="300"/>
        </w:trPr>
        <w:tc>
          <w:tcPr>
            <w:tcW w:w="666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Superannuation - defined contribution plans</w:t>
            </w:r>
            <w:r w:rsidRPr="0009212F">
              <w:rPr>
                <w:color w:val="404040" w:themeColor="text1" w:themeTint="BF"/>
                <w:sz w:val="18"/>
                <w:szCs w:val="18"/>
                <w:vertAlign w:val="superscript"/>
                <w:lang w:val="en-AU"/>
              </w:rPr>
              <w:t xml:space="preserve">(b)(c) </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450</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500</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5,024</w:t>
            </w:r>
          </w:p>
        </w:tc>
        <w:tc>
          <w:tcPr>
            <w:tcW w:w="1417"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5,714</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495"/>
        </w:trPr>
        <w:tc>
          <w:tcPr>
            <w:tcW w:w="10776" w:type="dxa"/>
            <w:gridSpan w:val="6"/>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(a)  Includes the value of the fringe benefit to the employee plus the fringe benefits tax component, leave entitlements including superannuation contribution component. </w:t>
            </w:r>
          </w:p>
        </w:tc>
      </w:tr>
      <w:tr w:rsidR="0009212F" w:rsidRPr="0009212F" w:rsidTr="0009212F">
        <w:trPr>
          <w:trHeight w:val="285"/>
        </w:trPr>
        <w:tc>
          <w:tcPr>
            <w:tcW w:w="10776" w:type="dxa"/>
            <w:gridSpan w:val="6"/>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(b)  Defined contribution plans include West State, Gold State, GESB and other eligible funds. </w:t>
            </w:r>
          </w:p>
        </w:tc>
      </w:tr>
      <w:tr w:rsidR="0009212F" w:rsidRPr="0009212F" w:rsidTr="0009212F">
        <w:trPr>
          <w:trHeight w:val="285"/>
        </w:trPr>
        <w:tc>
          <w:tcPr>
            <w:tcW w:w="10776" w:type="dxa"/>
            <w:gridSpan w:val="6"/>
            <w:tcBorders>
              <w:top w:val="nil"/>
              <w:left w:val="nil"/>
              <w:bottom w:val="nil"/>
              <w:right w:val="nil"/>
            </w:tcBorders>
            <w:shd w:val="clear" w:color="auto" w:fill="auto"/>
            <w:vAlign w:val="bottom"/>
            <w:hideMark/>
          </w:tcPr>
          <w:p w:rsidR="0009212F" w:rsidRPr="0009212F" w:rsidRDefault="0009212F" w:rsidP="0009212F">
            <w:pPr>
              <w:pStyle w:val="BodyCopy"/>
              <w:numPr>
                <w:ilvl w:val="0"/>
                <w:numId w:val="13"/>
              </w:numPr>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 </w:t>
            </w:r>
            <w:proofErr w:type="gramStart"/>
            <w:r w:rsidRPr="0009212F">
              <w:rPr>
                <w:color w:val="404040" w:themeColor="text1" w:themeTint="BF"/>
                <w:sz w:val="18"/>
                <w:szCs w:val="18"/>
                <w:lang w:val="en-AU"/>
              </w:rPr>
              <w:t>Figures in 2013-14 includes</w:t>
            </w:r>
            <w:proofErr w:type="gramEnd"/>
            <w:r w:rsidRPr="0009212F">
              <w:rPr>
                <w:color w:val="404040" w:themeColor="text1" w:themeTint="BF"/>
                <w:sz w:val="18"/>
                <w:szCs w:val="18"/>
                <w:lang w:val="en-AU"/>
              </w:rPr>
              <w:t xml:space="preserve"> Voluntary Severance - Voluntary Severance Scheme of $240,494 for two employees.</w:t>
            </w:r>
          </w:p>
        </w:tc>
      </w:tr>
      <w:tr w:rsidR="0009212F" w:rsidRPr="0009212F" w:rsidTr="0009212F">
        <w:trPr>
          <w:trHeight w:val="28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85"/>
        </w:trPr>
        <w:tc>
          <w:tcPr>
            <w:tcW w:w="10776" w:type="dxa"/>
            <w:gridSpan w:val="6"/>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Employment on-costs expenses, such as workers’ compensation insurance, are included at note 11 '</w:t>
            </w:r>
            <w:r w:rsidRPr="0009212F">
              <w:rPr>
                <w:i/>
                <w:iCs/>
                <w:color w:val="404040" w:themeColor="text1" w:themeTint="BF"/>
                <w:sz w:val="18"/>
                <w:szCs w:val="18"/>
                <w:lang w:val="en-AU"/>
              </w:rPr>
              <w:t>Other Expenses</w:t>
            </w:r>
            <w:r w:rsidRPr="0009212F">
              <w:rPr>
                <w:color w:val="404040" w:themeColor="text1" w:themeTint="BF"/>
                <w:sz w:val="18"/>
                <w:szCs w:val="18"/>
                <w:lang w:val="en-AU"/>
              </w:rPr>
              <w:t xml:space="preserve">'.  </w:t>
            </w:r>
          </w:p>
        </w:tc>
      </w:tr>
      <w:tr w:rsidR="0009212F" w:rsidRPr="0009212F" w:rsidTr="0009212F">
        <w:trPr>
          <w:trHeight w:val="28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r>
      <w:tr w:rsidR="0009212F" w:rsidRPr="0009212F" w:rsidTr="0009212F">
        <w:trPr>
          <w:trHeight w:val="285"/>
        </w:trPr>
        <w:tc>
          <w:tcPr>
            <w:tcW w:w="10776" w:type="dxa"/>
            <w:gridSpan w:val="6"/>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Employment on-costs liability is included at note 21 '</w:t>
            </w:r>
            <w:r w:rsidRPr="0009212F">
              <w:rPr>
                <w:i/>
                <w:iCs/>
                <w:color w:val="404040" w:themeColor="text1" w:themeTint="BF"/>
                <w:sz w:val="18"/>
                <w:szCs w:val="18"/>
                <w:lang w:val="en-AU"/>
              </w:rPr>
              <w:t>Provisions</w:t>
            </w:r>
            <w:r w:rsidRPr="0009212F">
              <w:rPr>
                <w:color w:val="404040" w:themeColor="text1" w:themeTint="BF"/>
                <w:sz w:val="18"/>
                <w:szCs w:val="18"/>
                <w:lang w:val="en-AU"/>
              </w:rPr>
              <w:t>'.</w:t>
            </w:r>
          </w:p>
        </w:tc>
      </w:tr>
      <w:tr w:rsidR="0009212F" w:rsidRPr="0009212F" w:rsidTr="0009212F">
        <w:trPr>
          <w:trHeight w:val="28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r>
      <w:tr w:rsidR="0009212F" w:rsidRPr="0009212F" w:rsidTr="0009212F">
        <w:trPr>
          <w:trHeight w:val="28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r>
      <w:tr w:rsidR="0009212F" w:rsidRPr="0009212F" w:rsidTr="0009212F">
        <w:trPr>
          <w:trHeight w:val="31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7.</w:t>
            </w: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Supplies and services</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09212F">
        <w:trPr>
          <w:trHeight w:val="31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trHeight w:val="31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285"/>
        </w:trPr>
        <w:tc>
          <w:tcPr>
            <w:tcW w:w="666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Communications</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879</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1,800</w:t>
            </w:r>
          </w:p>
        </w:tc>
      </w:tr>
      <w:tr w:rsidR="0009212F" w:rsidRPr="0009212F" w:rsidTr="0009212F">
        <w:trPr>
          <w:trHeight w:val="285"/>
        </w:trPr>
        <w:tc>
          <w:tcPr>
            <w:tcW w:w="666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Consultants and contractors</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1,604</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1,813</w:t>
            </w:r>
          </w:p>
        </w:tc>
      </w:tr>
      <w:tr w:rsidR="0009212F" w:rsidRPr="0009212F" w:rsidTr="0009212F">
        <w:trPr>
          <w:trHeight w:val="285"/>
        </w:trPr>
        <w:tc>
          <w:tcPr>
            <w:tcW w:w="666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Consumables</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272</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410</w:t>
            </w:r>
          </w:p>
        </w:tc>
      </w:tr>
      <w:tr w:rsidR="0009212F" w:rsidRPr="0009212F" w:rsidTr="0009212F">
        <w:trPr>
          <w:trHeight w:val="28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Travel</w:t>
            </w: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62</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113</w:t>
            </w:r>
          </w:p>
        </w:tc>
      </w:tr>
      <w:tr w:rsidR="0009212F" w:rsidRPr="0009212F" w:rsidTr="0009212F">
        <w:trPr>
          <w:trHeight w:val="28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w:t>
            </w: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115</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103</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68"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2,932</w:t>
            </w:r>
          </w:p>
        </w:tc>
        <w:tc>
          <w:tcPr>
            <w:tcW w:w="1417"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4,239</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8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31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8.</w:t>
            </w: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Depreciation and amortisation expense</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09212F">
        <w:trPr>
          <w:trHeight w:val="31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trHeight w:val="31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300"/>
        </w:trPr>
        <w:tc>
          <w:tcPr>
            <w:tcW w:w="1339"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Depreciation</w:t>
            </w: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u w:val="single"/>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u w:val="single"/>
                <w:lang w:val="en-AU"/>
              </w:rPr>
            </w:pPr>
          </w:p>
        </w:tc>
      </w:tr>
      <w:tr w:rsidR="0009212F" w:rsidRPr="0009212F" w:rsidTr="0009212F">
        <w:trPr>
          <w:trHeight w:val="300"/>
        </w:trPr>
        <w:tc>
          <w:tcPr>
            <w:tcW w:w="1339"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Equipment</w:t>
            </w: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33</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29</w:t>
            </w:r>
          </w:p>
        </w:tc>
      </w:tr>
      <w:tr w:rsidR="0009212F" w:rsidRPr="0009212F" w:rsidTr="0009212F">
        <w:trPr>
          <w:trHeight w:val="285"/>
        </w:trPr>
        <w:tc>
          <w:tcPr>
            <w:tcW w:w="666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Computer hardware</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36</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w:t>
            </w:r>
          </w:p>
        </w:tc>
      </w:tr>
      <w:tr w:rsidR="0009212F" w:rsidRPr="0009212F" w:rsidTr="0009212F">
        <w:trPr>
          <w:trHeight w:val="285"/>
        </w:trPr>
        <w:tc>
          <w:tcPr>
            <w:tcW w:w="666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depreciation</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68"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69</w:t>
            </w:r>
          </w:p>
        </w:tc>
        <w:tc>
          <w:tcPr>
            <w:tcW w:w="1417"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44</w:t>
            </w:r>
          </w:p>
        </w:tc>
      </w:tr>
      <w:tr w:rsidR="0009212F" w:rsidRPr="0009212F" w:rsidTr="0009212F">
        <w:trPr>
          <w:trHeight w:val="28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85"/>
        </w:trPr>
        <w:tc>
          <w:tcPr>
            <w:tcW w:w="1339"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Amortisation</w:t>
            </w: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85"/>
        </w:trPr>
        <w:tc>
          <w:tcPr>
            <w:tcW w:w="666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Intangible assets</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165</w:t>
            </w:r>
          </w:p>
        </w:tc>
        <w:tc>
          <w:tcPr>
            <w:tcW w:w="1417"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154</w:t>
            </w:r>
          </w:p>
        </w:tc>
      </w:tr>
      <w:tr w:rsidR="0009212F" w:rsidRPr="0009212F" w:rsidTr="0009212F">
        <w:trPr>
          <w:trHeight w:val="285"/>
        </w:trPr>
        <w:tc>
          <w:tcPr>
            <w:tcW w:w="666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amortisation</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165</w:t>
            </w:r>
          </w:p>
        </w:tc>
        <w:tc>
          <w:tcPr>
            <w:tcW w:w="1417"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154</w:t>
            </w:r>
          </w:p>
        </w:tc>
      </w:tr>
      <w:tr w:rsidR="0009212F" w:rsidRPr="0009212F" w:rsidTr="0009212F">
        <w:trPr>
          <w:trHeight w:val="300"/>
        </w:trPr>
        <w:tc>
          <w:tcPr>
            <w:tcW w:w="666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depreciation and amortisation</w:t>
            </w: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234</w:t>
            </w:r>
          </w:p>
        </w:tc>
        <w:tc>
          <w:tcPr>
            <w:tcW w:w="1417" w:type="dxa"/>
            <w:tcBorders>
              <w:top w:val="nil"/>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198</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8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0776" w:type="dxa"/>
        <w:tblInd w:w="108" w:type="dxa"/>
        <w:tblLook w:val="04A0" w:firstRow="1" w:lastRow="0" w:firstColumn="1" w:lastColumn="0" w:noHBand="0" w:noVBand="1"/>
      </w:tblPr>
      <w:tblGrid>
        <w:gridCol w:w="782"/>
        <w:gridCol w:w="101"/>
        <w:gridCol w:w="456"/>
        <w:gridCol w:w="94"/>
        <w:gridCol w:w="5088"/>
        <w:gridCol w:w="142"/>
        <w:gridCol w:w="1294"/>
        <w:gridCol w:w="134"/>
        <w:gridCol w:w="1142"/>
        <w:gridCol w:w="126"/>
        <w:gridCol w:w="1250"/>
        <w:gridCol w:w="167"/>
      </w:tblGrid>
      <w:tr w:rsidR="005049C0" w:rsidRPr="0009212F" w:rsidTr="00B40057">
        <w:trPr>
          <w:trHeight w:val="300"/>
        </w:trPr>
        <w:tc>
          <w:tcPr>
            <w:tcW w:w="10776" w:type="dxa"/>
            <w:gridSpan w:val="12"/>
            <w:tcBorders>
              <w:top w:val="nil"/>
              <w:left w:val="nil"/>
              <w:bottom w:val="nil"/>
            </w:tcBorders>
            <w:shd w:val="clear" w:color="auto" w:fill="auto"/>
            <w:noWrap/>
            <w:vAlign w:val="bottom"/>
          </w:tcPr>
          <w:p w:rsidR="005049C0" w:rsidRPr="0009212F" w:rsidRDefault="005049C0" w:rsidP="005049C0">
            <w:pPr>
              <w:pStyle w:val="BodyCopy"/>
              <w:tabs>
                <w:tab w:val="left" w:pos="709"/>
              </w:tabs>
              <w:spacing w:before="40" w:after="40" w:line="160" w:lineRule="atLeast"/>
              <w:ind w:left="1418" w:hanging="1418"/>
              <w:jc w:val="right"/>
              <w:rPr>
                <w:b/>
                <w:bCs/>
                <w:i/>
                <w:iCs/>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9.</w:t>
            </w: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Accommodation expenses</w:t>
            </w: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285"/>
        </w:trPr>
        <w:tc>
          <w:tcPr>
            <w:tcW w:w="6663"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Lease rentals</w:t>
            </w: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1,663</w:t>
            </w: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1,598</w:t>
            </w:r>
          </w:p>
        </w:tc>
      </w:tr>
      <w:tr w:rsidR="0009212F" w:rsidRPr="0009212F" w:rsidTr="0009212F">
        <w:trPr>
          <w:trHeight w:val="285"/>
        </w:trPr>
        <w:tc>
          <w:tcPr>
            <w:tcW w:w="6663"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Repairs and maintenance</w:t>
            </w: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147</w:t>
            </w: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122</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68"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1,810</w:t>
            </w:r>
          </w:p>
        </w:tc>
        <w:tc>
          <w:tcPr>
            <w:tcW w:w="1417"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1,720</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85"/>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10.</w:t>
            </w: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Grants and subsidies</w:t>
            </w: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i/>
                <w:iCs/>
                <w:color w:val="404040" w:themeColor="text1" w:themeTint="BF"/>
                <w:sz w:val="18"/>
                <w:szCs w:val="18"/>
                <w:lang w:val="en-AU"/>
              </w:rPr>
            </w:pP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i/>
                <w:iCs/>
                <w:color w:val="404040" w:themeColor="text1" w:themeTint="BF"/>
                <w:sz w:val="18"/>
                <w:szCs w:val="18"/>
                <w:lang w:val="en-AU"/>
              </w:rPr>
            </w:pP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300"/>
        </w:trPr>
        <w:tc>
          <w:tcPr>
            <w:tcW w:w="1339"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Recurrent</w:t>
            </w: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85"/>
        </w:trPr>
        <w:tc>
          <w:tcPr>
            <w:tcW w:w="6663" w:type="dxa"/>
            <w:gridSpan w:val="6"/>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Grants (section 175LC of the Electoral Act 1907) (a)</w:t>
            </w: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33</w:t>
            </w: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w:t>
            </w:r>
          </w:p>
        </w:tc>
      </w:tr>
      <w:tr w:rsidR="0009212F" w:rsidRPr="0009212F" w:rsidTr="0009212F">
        <w:trPr>
          <w:trHeight w:val="300"/>
        </w:trPr>
        <w:tc>
          <w:tcPr>
            <w:tcW w:w="78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33</w:t>
            </w:r>
          </w:p>
        </w:tc>
        <w:tc>
          <w:tcPr>
            <w:tcW w:w="1417"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11</w:t>
            </w:r>
          </w:p>
        </w:tc>
      </w:tr>
      <w:tr w:rsidR="0009212F" w:rsidRPr="0009212F" w:rsidTr="0009212F">
        <w:trPr>
          <w:trHeight w:val="300"/>
        </w:trPr>
        <w:tc>
          <w:tcPr>
            <w:tcW w:w="782"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24"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1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540"/>
        </w:trPr>
        <w:tc>
          <w:tcPr>
            <w:tcW w:w="10776" w:type="dxa"/>
            <w:gridSpan w:val="12"/>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 As per section 175LC of the Electoral Act 1907 being grants paid to Political Parties and candidates who achieve more than 4% of the eligible preference votes recorded at the State Election (2014: $11) and State By-Election (2015: $33).</w:t>
            </w:r>
          </w:p>
        </w:tc>
      </w:tr>
      <w:tr w:rsidR="0009212F" w:rsidRPr="0009212F" w:rsidTr="0009212F">
        <w:trPr>
          <w:gridAfter w:val="1"/>
          <w:wAfter w:w="167" w:type="dxa"/>
          <w:trHeight w:val="285"/>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11.</w:t>
            </w: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Other expenses</w:t>
            </w: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gridAfter w:val="1"/>
          <w:wAfter w:w="167" w:type="dxa"/>
          <w:trHeight w:val="285"/>
        </w:trPr>
        <w:tc>
          <w:tcPr>
            <w:tcW w:w="1433"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Audit fees</w:t>
            </w:r>
            <w:r w:rsidRPr="0009212F">
              <w:rPr>
                <w:color w:val="404040" w:themeColor="text1" w:themeTint="BF"/>
                <w:sz w:val="18"/>
                <w:szCs w:val="18"/>
                <w:vertAlign w:val="superscript"/>
                <w:lang w:val="en-AU"/>
              </w:rPr>
              <w:t>(a)</w:t>
            </w: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46</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43</w:t>
            </w: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276"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46</w:t>
            </w:r>
          </w:p>
        </w:tc>
        <w:tc>
          <w:tcPr>
            <w:tcW w:w="1376"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43</w:t>
            </w: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gridAfter w:val="1"/>
          <w:wAfter w:w="167" w:type="dxa"/>
          <w:trHeight w:val="360"/>
        </w:trPr>
        <w:tc>
          <w:tcPr>
            <w:tcW w:w="10609" w:type="dxa"/>
            <w:gridSpan w:val="11"/>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 Include previous year audit fees. See also note 31 'Remuneration of auditor'.</w:t>
            </w:r>
          </w:p>
        </w:tc>
      </w:tr>
      <w:tr w:rsidR="0009212F" w:rsidRPr="0009212F" w:rsidTr="0009212F">
        <w:trPr>
          <w:gridAfter w:val="1"/>
          <w:wAfter w:w="167" w:type="dxa"/>
          <w:trHeight w:val="285"/>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gridAfter w:val="1"/>
          <w:wAfter w:w="167" w:type="dxa"/>
          <w:trHeight w:val="285"/>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12.</w:t>
            </w: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Other revenue</w:t>
            </w: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gridAfter w:val="1"/>
          <w:wAfter w:w="167" w:type="dxa"/>
          <w:trHeight w:val="285"/>
        </w:trPr>
        <w:tc>
          <w:tcPr>
            <w:tcW w:w="652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Local Government Elections</w:t>
            </w: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3,575</w:t>
            </w:r>
          </w:p>
        </w:tc>
      </w:tr>
      <w:tr w:rsidR="0009212F" w:rsidRPr="0009212F" w:rsidTr="0009212F">
        <w:trPr>
          <w:gridAfter w:val="1"/>
          <w:wAfter w:w="167" w:type="dxa"/>
          <w:trHeight w:val="285"/>
        </w:trPr>
        <w:tc>
          <w:tcPr>
            <w:tcW w:w="652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 Elections</w:t>
            </w: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520</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412</w:t>
            </w:r>
          </w:p>
        </w:tc>
      </w:tr>
      <w:tr w:rsidR="0009212F" w:rsidRPr="0009212F" w:rsidTr="0009212F">
        <w:trPr>
          <w:gridAfter w:val="1"/>
          <w:wAfter w:w="167" w:type="dxa"/>
          <w:trHeight w:val="285"/>
        </w:trPr>
        <w:tc>
          <w:tcPr>
            <w:tcW w:w="652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Sale of Roll Products/General Revenue</w:t>
            </w: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115</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46</w:t>
            </w:r>
          </w:p>
        </w:tc>
      </w:tr>
      <w:tr w:rsidR="0009212F" w:rsidRPr="0009212F" w:rsidTr="0009212F">
        <w:trPr>
          <w:gridAfter w:val="1"/>
          <w:wAfter w:w="167" w:type="dxa"/>
          <w:trHeight w:val="285"/>
        </w:trPr>
        <w:tc>
          <w:tcPr>
            <w:tcW w:w="652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 revenue</w:t>
            </w:r>
            <w:r w:rsidRPr="0009212F">
              <w:rPr>
                <w:color w:val="404040" w:themeColor="text1" w:themeTint="BF"/>
                <w:sz w:val="18"/>
                <w:szCs w:val="18"/>
                <w:vertAlign w:val="superscript"/>
                <w:lang w:val="en-AU"/>
              </w:rPr>
              <w:t>(a)</w:t>
            </w: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w:t>
            </w: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635</w:t>
            </w:r>
          </w:p>
        </w:tc>
        <w:tc>
          <w:tcPr>
            <w:tcW w:w="1376"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4,045</w:t>
            </w: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gridAfter w:val="1"/>
          <w:wAfter w:w="167" w:type="dxa"/>
          <w:trHeight w:val="285"/>
        </w:trPr>
        <w:tc>
          <w:tcPr>
            <w:tcW w:w="652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vertAlign w:val="superscript"/>
                <w:lang w:val="en-AU"/>
              </w:rPr>
              <w:t>(a)</w:t>
            </w:r>
            <w:r w:rsidRPr="0009212F">
              <w:rPr>
                <w:color w:val="404040" w:themeColor="text1" w:themeTint="BF"/>
                <w:sz w:val="18"/>
                <w:szCs w:val="18"/>
                <w:lang w:val="en-AU"/>
              </w:rPr>
              <w:t xml:space="preserve"> Recouping of services performed by WAEC staff to AEC</w:t>
            </w: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1"/>
          <w:wAfter w:w="167" w:type="dxa"/>
          <w:trHeight w:val="285"/>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1"/>
          <w:wAfter w:w="167" w:type="dxa"/>
          <w:trHeight w:val="285"/>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13.</w:t>
            </w: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Income from State Government</w:t>
            </w: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gridAfter w:val="1"/>
          <w:wAfter w:w="167"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gridAfter w:val="1"/>
          <w:wAfter w:w="167" w:type="dxa"/>
          <w:trHeight w:val="285"/>
        </w:trPr>
        <w:tc>
          <w:tcPr>
            <w:tcW w:w="652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Appropriation received during the period:</w:t>
            </w: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gridAfter w:val="1"/>
          <w:wAfter w:w="167" w:type="dxa"/>
          <w:trHeight w:val="285"/>
        </w:trPr>
        <w:tc>
          <w:tcPr>
            <w:tcW w:w="652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Service appropriation </w:t>
            </w:r>
            <w:r w:rsidRPr="0009212F">
              <w:rPr>
                <w:color w:val="404040" w:themeColor="text1" w:themeTint="BF"/>
                <w:sz w:val="18"/>
                <w:szCs w:val="18"/>
                <w:vertAlign w:val="superscript"/>
                <w:lang w:val="en-AU"/>
              </w:rPr>
              <w:t>(a)</w:t>
            </w: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8,715</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7,377</w:t>
            </w:r>
          </w:p>
        </w:tc>
      </w:tr>
      <w:tr w:rsidR="0009212F" w:rsidRPr="0009212F" w:rsidTr="0009212F">
        <w:trPr>
          <w:gridAfter w:val="1"/>
          <w:wAfter w:w="167" w:type="dxa"/>
          <w:trHeight w:val="285"/>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8,715</w:t>
            </w:r>
          </w:p>
        </w:tc>
        <w:tc>
          <w:tcPr>
            <w:tcW w:w="1376" w:type="dxa"/>
            <w:gridSpan w:val="2"/>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7,377</w:t>
            </w:r>
          </w:p>
        </w:tc>
      </w:tr>
      <w:tr w:rsidR="0009212F" w:rsidRPr="0009212F" w:rsidTr="0009212F">
        <w:trPr>
          <w:gridAfter w:val="1"/>
          <w:wAfter w:w="167" w:type="dxa"/>
          <w:trHeight w:val="285"/>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1365" w:type="dxa"/>
        <w:tblInd w:w="108" w:type="dxa"/>
        <w:tblLook w:val="04A0" w:firstRow="1" w:lastRow="0" w:firstColumn="1" w:lastColumn="0" w:noHBand="0" w:noVBand="1"/>
      </w:tblPr>
      <w:tblGrid>
        <w:gridCol w:w="883"/>
        <w:gridCol w:w="550"/>
        <w:gridCol w:w="24"/>
        <w:gridCol w:w="3930"/>
        <w:gridCol w:w="425"/>
        <w:gridCol w:w="142"/>
        <w:gridCol w:w="567"/>
        <w:gridCol w:w="142"/>
        <w:gridCol w:w="425"/>
        <w:gridCol w:w="142"/>
        <w:gridCol w:w="236"/>
        <w:gridCol w:w="47"/>
        <w:gridCol w:w="188"/>
        <w:gridCol w:w="96"/>
        <w:gridCol w:w="160"/>
        <w:gridCol w:w="407"/>
        <w:gridCol w:w="142"/>
        <w:gridCol w:w="58"/>
        <w:gridCol w:w="480"/>
        <w:gridCol w:w="170"/>
        <w:gridCol w:w="19"/>
        <w:gridCol w:w="128"/>
        <w:gridCol w:w="127"/>
        <w:gridCol w:w="38"/>
        <w:gridCol w:w="65"/>
        <w:gridCol w:w="1018"/>
        <w:gridCol w:w="136"/>
        <w:gridCol w:w="147"/>
        <w:gridCol w:w="75"/>
        <w:gridCol w:w="21"/>
        <w:gridCol w:w="31"/>
        <w:gridCol w:w="346"/>
      </w:tblGrid>
      <w:tr w:rsidR="005049C0" w:rsidRPr="0009212F" w:rsidTr="0009212F">
        <w:trPr>
          <w:gridAfter w:val="6"/>
          <w:wAfter w:w="756" w:type="dxa"/>
          <w:trHeight w:val="285"/>
        </w:trPr>
        <w:tc>
          <w:tcPr>
            <w:tcW w:w="10609" w:type="dxa"/>
            <w:gridSpan w:val="26"/>
            <w:tcBorders>
              <w:top w:val="nil"/>
              <w:left w:val="nil"/>
              <w:bottom w:val="nil"/>
              <w:right w:val="nil"/>
            </w:tcBorders>
            <w:shd w:val="clear" w:color="auto" w:fill="auto"/>
            <w:noWrap/>
            <w:vAlign w:val="bottom"/>
          </w:tcPr>
          <w:p w:rsidR="005049C0" w:rsidRPr="0009212F" w:rsidRDefault="005049C0" w:rsidP="005049C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09212F" w:rsidRPr="0009212F" w:rsidTr="0009212F">
        <w:trPr>
          <w:gridAfter w:val="6"/>
          <w:wAfter w:w="756" w:type="dxa"/>
          <w:trHeight w:val="285"/>
        </w:trPr>
        <w:tc>
          <w:tcPr>
            <w:tcW w:w="10609" w:type="dxa"/>
            <w:gridSpan w:val="2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Services received free of charge from other State government agencies during the period:</w:t>
            </w:r>
          </w:p>
        </w:tc>
      </w:tr>
      <w:tr w:rsidR="0009212F" w:rsidRPr="0009212F" w:rsidTr="0009212F">
        <w:trPr>
          <w:gridAfter w:val="6"/>
          <w:wAfter w:w="756" w:type="dxa"/>
          <w:trHeight w:val="285"/>
        </w:trPr>
        <w:tc>
          <w:tcPr>
            <w:tcW w:w="6521" w:type="dxa"/>
            <w:gridSpan w:val="7"/>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Department of Finance - Building Management Works</w:t>
            </w: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17</w:t>
            </w: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23</w:t>
            </w:r>
          </w:p>
        </w:tc>
      </w:tr>
      <w:tr w:rsidR="0009212F" w:rsidRPr="0009212F" w:rsidTr="0009212F">
        <w:trPr>
          <w:gridAfter w:val="6"/>
          <w:wAfter w:w="756" w:type="dxa"/>
          <w:trHeight w:val="285"/>
        </w:trPr>
        <w:tc>
          <w:tcPr>
            <w:tcW w:w="6521" w:type="dxa"/>
            <w:gridSpan w:val="7"/>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Department of the Attorney General - Corporate Services</w:t>
            </w: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30</w:t>
            </w: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w:t>
            </w:r>
          </w:p>
        </w:tc>
      </w:tr>
      <w:tr w:rsidR="0009212F" w:rsidRPr="0009212F" w:rsidTr="0009212F">
        <w:trPr>
          <w:gridAfter w:val="6"/>
          <w:wAfter w:w="756" w:type="dxa"/>
          <w:trHeight w:val="285"/>
        </w:trPr>
        <w:tc>
          <w:tcPr>
            <w:tcW w:w="6521" w:type="dxa"/>
            <w:gridSpan w:val="7"/>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roofErr w:type="spellStart"/>
            <w:r w:rsidRPr="0009212F">
              <w:rPr>
                <w:color w:val="404040" w:themeColor="text1" w:themeTint="BF"/>
                <w:sz w:val="18"/>
                <w:szCs w:val="18"/>
                <w:lang w:val="en-AU"/>
              </w:rPr>
              <w:t>Landgate</w:t>
            </w:r>
            <w:proofErr w:type="spellEnd"/>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39</w:t>
            </w: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27</w:t>
            </w:r>
          </w:p>
        </w:tc>
      </w:tr>
      <w:tr w:rsidR="0009212F" w:rsidRPr="0009212F" w:rsidTr="0009212F">
        <w:trPr>
          <w:gridAfter w:val="6"/>
          <w:wAfter w:w="756"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86</w:t>
            </w:r>
          </w:p>
        </w:tc>
        <w:tc>
          <w:tcPr>
            <w:tcW w:w="1376" w:type="dxa"/>
            <w:gridSpan w:val="5"/>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59</w:t>
            </w:r>
          </w:p>
        </w:tc>
      </w:tr>
      <w:tr w:rsidR="0009212F" w:rsidRPr="0009212F" w:rsidTr="0009212F">
        <w:trPr>
          <w:gridAfter w:val="6"/>
          <w:wAfter w:w="756"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gridAfter w:val="6"/>
          <w:wAfter w:w="756"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8,801</w:t>
            </w:r>
          </w:p>
        </w:tc>
        <w:tc>
          <w:tcPr>
            <w:tcW w:w="1376" w:type="dxa"/>
            <w:gridSpan w:val="5"/>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7,436</w:t>
            </w:r>
          </w:p>
        </w:tc>
      </w:tr>
      <w:tr w:rsidR="0009212F" w:rsidRPr="0009212F" w:rsidTr="0009212F">
        <w:trPr>
          <w:gridAfter w:val="6"/>
          <w:wAfter w:w="756"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6"/>
          <w:wAfter w:w="756" w:type="dxa"/>
          <w:trHeight w:val="795"/>
        </w:trPr>
        <w:tc>
          <w:tcPr>
            <w:tcW w:w="10609" w:type="dxa"/>
            <w:gridSpan w:val="26"/>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  Service appropriations fund the net cost of services delivered.  Appropriation revenue comprises a cash component and a receivable (asset).  The receivable (holding account) comprises the budgeted depreciation expense for the year and any agreed increase in leave liability during the year.</w:t>
            </w:r>
          </w:p>
        </w:tc>
      </w:tr>
      <w:tr w:rsidR="0009212F" w:rsidRPr="0009212F" w:rsidTr="0009212F">
        <w:trPr>
          <w:gridAfter w:val="6"/>
          <w:wAfter w:w="756"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5"/>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6"/>
          <w:wAfter w:w="756"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5"/>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6"/>
          <w:wAfter w:w="756" w:type="dxa"/>
          <w:trHeight w:val="31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14.</w:t>
            </w: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Restricted cash and cash equivalents</w:t>
            </w: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09212F">
        <w:trPr>
          <w:gridAfter w:val="6"/>
          <w:wAfter w:w="756" w:type="dxa"/>
          <w:trHeight w:val="31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gridAfter w:val="6"/>
          <w:wAfter w:w="756" w:type="dxa"/>
          <w:trHeight w:val="31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gridAfter w:val="6"/>
          <w:wAfter w:w="756"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Current</w:t>
            </w: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gridAfter w:val="6"/>
          <w:wAfter w:w="756" w:type="dxa"/>
          <w:trHeight w:val="285"/>
        </w:trPr>
        <w:tc>
          <w:tcPr>
            <w:tcW w:w="6521"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Accrued salaries suspense account</w:t>
            </w:r>
            <w:r w:rsidRPr="0009212F">
              <w:rPr>
                <w:color w:val="404040" w:themeColor="text1" w:themeTint="BF"/>
                <w:sz w:val="18"/>
                <w:szCs w:val="18"/>
                <w:vertAlign w:val="superscript"/>
                <w:lang w:val="en-AU"/>
              </w:rPr>
              <w:t xml:space="preserve"> (a)</w:t>
            </w: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151</w:t>
            </w: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r>
      <w:tr w:rsidR="0009212F" w:rsidRPr="0009212F" w:rsidTr="0009212F">
        <w:trPr>
          <w:gridAfter w:val="6"/>
          <w:wAfter w:w="756"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151</w:t>
            </w:r>
          </w:p>
        </w:tc>
        <w:tc>
          <w:tcPr>
            <w:tcW w:w="1376" w:type="dxa"/>
            <w:gridSpan w:val="5"/>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w:t>
            </w:r>
          </w:p>
        </w:tc>
      </w:tr>
      <w:tr w:rsidR="0009212F" w:rsidRPr="0009212F" w:rsidTr="0009212F">
        <w:trPr>
          <w:gridAfter w:val="6"/>
          <w:wAfter w:w="756"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r>
      <w:tr w:rsidR="0009212F" w:rsidRPr="0009212F" w:rsidTr="0009212F">
        <w:trPr>
          <w:gridAfter w:val="6"/>
          <w:wAfter w:w="756" w:type="dxa"/>
          <w:trHeight w:val="285"/>
        </w:trPr>
        <w:tc>
          <w:tcPr>
            <w:tcW w:w="143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Non-current</w:t>
            </w: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gridAfter w:val="6"/>
          <w:wAfter w:w="756" w:type="dxa"/>
          <w:trHeight w:val="285"/>
        </w:trPr>
        <w:tc>
          <w:tcPr>
            <w:tcW w:w="6521"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Accrued salaries suspense account</w:t>
            </w:r>
            <w:r w:rsidRPr="0009212F">
              <w:rPr>
                <w:color w:val="404040" w:themeColor="text1" w:themeTint="BF"/>
                <w:sz w:val="18"/>
                <w:szCs w:val="18"/>
                <w:vertAlign w:val="superscript"/>
                <w:lang w:val="en-AU"/>
              </w:rPr>
              <w:t xml:space="preserve"> (a)</w:t>
            </w: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126</w:t>
            </w:r>
          </w:p>
        </w:tc>
      </w:tr>
      <w:tr w:rsidR="0009212F" w:rsidRPr="0009212F" w:rsidTr="0009212F">
        <w:trPr>
          <w:gridAfter w:val="6"/>
          <w:wAfter w:w="756"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w:t>
            </w:r>
          </w:p>
        </w:tc>
        <w:tc>
          <w:tcPr>
            <w:tcW w:w="1376" w:type="dxa"/>
            <w:gridSpan w:val="5"/>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126</w:t>
            </w:r>
          </w:p>
        </w:tc>
      </w:tr>
      <w:tr w:rsidR="0009212F" w:rsidRPr="0009212F" w:rsidTr="0009212F">
        <w:trPr>
          <w:gridAfter w:val="6"/>
          <w:wAfter w:w="756"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6"/>
          <w:wAfter w:w="756" w:type="dxa"/>
          <w:trHeight w:val="435"/>
        </w:trPr>
        <w:tc>
          <w:tcPr>
            <w:tcW w:w="10609" w:type="dxa"/>
            <w:gridSpan w:val="26"/>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  Funds held in the suspense account for the purpose of meeting the 27</w:t>
            </w:r>
            <w:r w:rsidRPr="0009212F">
              <w:rPr>
                <w:color w:val="404040" w:themeColor="text1" w:themeTint="BF"/>
                <w:sz w:val="18"/>
                <w:szCs w:val="18"/>
                <w:vertAlign w:val="superscript"/>
                <w:lang w:val="en-AU"/>
              </w:rPr>
              <w:t>th</w:t>
            </w:r>
            <w:r w:rsidRPr="0009212F">
              <w:rPr>
                <w:color w:val="404040" w:themeColor="text1" w:themeTint="BF"/>
                <w:sz w:val="18"/>
                <w:szCs w:val="18"/>
                <w:lang w:val="en-AU"/>
              </w:rPr>
              <w:t xml:space="preserve"> pay in a financial year that occurs </w:t>
            </w:r>
            <w:r w:rsidRPr="0009212F">
              <w:rPr>
                <w:color w:val="404040" w:themeColor="text1" w:themeTint="BF"/>
                <w:sz w:val="18"/>
                <w:szCs w:val="18"/>
                <w:lang w:val="en-AU"/>
              </w:rPr>
              <w:br/>
              <w:t>every 11</w:t>
            </w:r>
            <w:r w:rsidRPr="0009212F">
              <w:rPr>
                <w:color w:val="404040" w:themeColor="text1" w:themeTint="BF"/>
                <w:sz w:val="18"/>
                <w:szCs w:val="18"/>
                <w:vertAlign w:val="superscript"/>
                <w:lang w:val="en-AU"/>
              </w:rPr>
              <w:t>th</w:t>
            </w:r>
            <w:r w:rsidRPr="0009212F">
              <w:rPr>
                <w:color w:val="404040" w:themeColor="text1" w:themeTint="BF"/>
                <w:sz w:val="18"/>
                <w:szCs w:val="18"/>
                <w:lang w:val="en-AU"/>
              </w:rPr>
              <w:t xml:space="preserve"> year.</w:t>
            </w:r>
          </w:p>
        </w:tc>
      </w:tr>
      <w:tr w:rsidR="0009212F" w:rsidRPr="0009212F" w:rsidTr="0009212F">
        <w:trPr>
          <w:gridAfter w:val="6"/>
          <w:wAfter w:w="756" w:type="dxa"/>
          <w:trHeight w:val="345"/>
        </w:trPr>
        <w:tc>
          <w:tcPr>
            <w:tcW w:w="883"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88" w:type="dxa"/>
            <w:gridSpan w:val="5"/>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5"/>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6"/>
          <w:wAfter w:w="756"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8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8"/>
          <w:wAfter w:w="1839"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15.</w:t>
            </w: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Receivables</w:t>
            </w: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098"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962"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09212F">
        <w:trPr>
          <w:gridAfter w:val="5"/>
          <w:wAfter w:w="620"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gridAfter w:val="5"/>
          <w:wAfter w:w="620"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gridAfter w:val="5"/>
          <w:wAfter w:w="620"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Current</w:t>
            </w: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gridAfter w:val="5"/>
          <w:wAfter w:w="620"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Receivables</w:t>
            </w: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25</w:t>
            </w: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18</w:t>
            </w:r>
          </w:p>
        </w:tc>
      </w:tr>
      <w:tr w:rsidR="0009212F" w:rsidRPr="0009212F" w:rsidTr="0009212F">
        <w:trPr>
          <w:gridAfter w:val="5"/>
          <w:wAfter w:w="620" w:type="dxa"/>
          <w:trHeight w:val="285"/>
        </w:trPr>
        <w:tc>
          <w:tcPr>
            <w:tcW w:w="7088"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Accrued revenue</w:t>
            </w: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w:t>
            </w: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w:t>
            </w:r>
          </w:p>
        </w:tc>
      </w:tr>
      <w:tr w:rsidR="0009212F" w:rsidRPr="0009212F" w:rsidTr="0009212F">
        <w:trPr>
          <w:gridAfter w:val="5"/>
          <w:wAfter w:w="620" w:type="dxa"/>
          <w:trHeight w:val="285"/>
        </w:trPr>
        <w:tc>
          <w:tcPr>
            <w:tcW w:w="7088"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GST receivable</w:t>
            </w: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128</w:t>
            </w: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272</w:t>
            </w:r>
          </w:p>
        </w:tc>
      </w:tr>
      <w:tr w:rsidR="0009212F" w:rsidRPr="0009212F" w:rsidTr="0009212F">
        <w:trPr>
          <w:gridAfter w:val="5"/>
          <w:wAfter w:w="620" w:type="dxa"/>
          <w:trHeight w:val="300"/>
        </w:trPr>
        <w:tc>
          <w:tcPr>
            <w:tcW w:w="7088"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current</w:t>
            </w: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168</w:t>
            </w:r>
          </w:p>
        </w:tc>
        <w:tc>
          <w:tcPr>
            <w:tcW w:w="1531" w:type="dxa"/>
            <w:gridSpan w:val="7"/>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309</w:t>
            </w:r>
          </w:p>
        </w:tc>
      </w:tr>
      <w:tr w:rsidR="0009212F" w:rsidRPr="0009212F" w:rsidTr="0009212F">
        <w:trPr>
          <w:gridAfter w:val="5"/>
          <w:wAfter w:w="620"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13"/>
          <w:wAfter w:w="2321" w:type="dxa"/>
          <w:trHeight w:val="285"/>
        </w:trPr>
        <w:tc>
          <w:tcPr>
            <w:tcW w:w="9044" w:type="dxa"/>
            <w:gridSpan w:val="19"/>
            <w:tcBorders>
              <w:top w:val="nil"/>
              <w:left w:val="nil"/>
              <w:bottom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Commission does not hold any collateral or other credit enhancements as security for receivables.</w:t>
            </w:r>
          </w:p>
        </w:tc>
      </w:tr>
      <w:tr w:rsidR="0009212F" w:rsidRPr="0009212F" w:rsidTr="0009212F">
        <w:trPr>
          <w:gridAfter w:val="13"/>
          <w:wAfter w:w="2321"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3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5"/>
          <w:wAfter w:w="620" w:type="dxa"/>
          <w:trHeight w:val="300"/>
        </w:trPr>
        <w:tc>
          <w:tcPr>
            <w:tcW w:w="10745" w:type="dxa"/>
            <w:gridSpan w:val="2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 xml:space="preserve">Note </w:t>
            </w:r>
            <w:r w:rsidRPr="0009212F">
              <w:rPr>
                <w:b/>
                <w:bCs/>
                <w:i/>
                <w:iCs/>
                <w:color w:val="404040" w:themeColor="text1" w:themeTint="BF"/>
                <w:sz w:val="18"/>
                <w:szCs w:val="18"/>
                <w:lang w:val="en-AU"/>
              </w:rPr>
              <w:tab/>
              <w:t>16.</w:t>
            </w:r>
            <w:r w:rsidRPr="0009212F">
              <w:rPr>
                <w:b/>
                <w:bCs/>
                <w:i/>
                <w:iCs/>
                <w:color w:val="404040" w:themeColor="text1" w:themeTint="BF"/>
                <w:sz w:val="18"/>
                <w:szCs w:val="18"/>
                <w:lang w:val="en-AU"/>
              </w:rPr>
              <w:tab/>
              <w:t>Amounts receivable for services (Holding Account)</w:t>
            </w:r>
          </w:p>
        </w:tc>
      </w:tr>
      <w:tr w:rsidR="0009212F" w:rsidRPr="0009212F" w:rsidTr="0009212F">
        <w:trPr>
          <w:gridAfter w:val="5"/>
          <w:wAfter w:w="620"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gridAfter w:val="5"/>
          <w:wAfter w:w="620"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gridAfter w:val="5"/>
          <w:wAfter w:w="620"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Current</w:t>
            </w: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117</w:t>
            </w: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117</w:t>
            </w:r>
          </w:p>
        </w:tc>
      </w:tr>
      <w:tr w:rsidR="0009212F" w:rsidRPr="0009212F" w:rsidTr="0009212F">
        <w:trPr>
          <w:gridAfter w:val="5"/>
          <w:wAfter w:w="620"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Non-Current</w:t>
            </w: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491</w:t>
            </w: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558</w:t>
            </w:r>
          </w:p>
        </w:tc>
      </w:tr>
      <w:tr w:rsidR="0009212F" w:rsidRPr="0009212F" w:rsidTr="0009212F">
        <w:trPr>
          <w:gridAfter w:val="5"/>
          <w:wAfter w:w="620"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608</w:t>
            </w:r>
          </w:p>
        </w:tc>
        <w:tc>
          <w:tcPr>
            <w:tcW w:w="1531" w:type="dxa"/>
            <w:gridSpan w:val="7"/>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675</w:t>
            </w:r>
          </w:p>
        </w:tc>
      </w:tr>
      <w:tr w:rsidR="0009212F" w:rsidRPr="0009212F" w:rsidTr="0009212F">
        <w:trPr>
          <w:gridAfter w:val="5"/>
          <w:wAfter w:w="620"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6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13"/>
          <w:wAfter w:w="2321" w:type="dxa"/>
          <w:trHeight w:val="495"/>
        </w:trPr>
        <w:tc>
          <w:tcPr>
            <w:tcW w:w="9044" w:type="dxa"/>
            <w:gridSpan w:val="19"/>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Represents the non-cash component of service appropriations.  It is restricted in that it can only be used for asset replacement or payment of leave liability.</w:t>
            </w:r>
          </w:p>
        </w:tc>
      </w:tr>
      <w:tr w:rsidR="005049C0" w:rsidRPr="0009212F" w:rsidTr="005049C0">
        <w:trPr>
          <w:gridAfter w:val="1"/>
          <w:wAfter w:w="346" w:type="dxa"/>
          <w:trHeight w:val="285"/>
        </w:trPr>
        <w:tc>
          <w:tcPr>
            <w:tcW w:w="11019" w:type="dxa"/>
            <w:gridSpan w:val="31"/>
            <w:tcBorders>
              <w:top w:val="nil"/>
              <w:left w:val="nil"/>
              <w:bottom w:val="nil"/>
            </w:tcBorders>
            <w:shd w:val="clear" w:color="auto" w:fill="auto"/>
            <w:hideMark/>
          </w:tcPr>
          <w:p w:rsidR="005049C0" w:rsidRPr="0009212F" w:rsidRDefault="005049C0" w:rsidP="005049C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09212F" w:rsidRPr="0009212F" w:rsidTr="0009212F">
        <w:trPr>
          <w:gridAfter w:val="4"/>
          <w:wAfter w:w="473"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17.</w:t>
            </w: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Plant and equipment</w:t>
            </w: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09212F">
        <w:trPr>
          <w:gridAfter w:val="4"/>
          <w:wAfter w:w="473"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gridAfter w:val="4"/>
          <w:wAfter w:w="473"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gridAfter w:val="4"/>
          <w:wAfter w:w="473"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Equipment</w:t>
            </w: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gridAfter w:val="4"/>
          <w:wAfter w:w="473"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At cost</w:t>
            </w: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227</w:t>
            </w: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279</w:t>
            </w:r>
          </w:p>
        </w:tc>
      </w:tr>
      <w:tr w:rsidR="0009212F" w:rsidRPr="0009212F" w:rsidTr="0009212F">
        <w:trPr>
          <w:gridAfter w:val="4"/>
          <w:wAfter w:w="473" w:type="dxa"/>
          <w:trHeight w:val="285"/>
        </w:trPr>
        <w:tc>
          <w:tcPr>
            <w:tcW w:w="723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Accumulated depreciation</w:t>
            </w: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(134)</w:t>
            </w: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(153)</w:t>
            </w:r>
          </w:p>
        </w:tc>
      </w:tr>
      <w:tr w:rsidR="0009212F" w:rsidRPr="0009212F" w:rsidTr="0009212F">
        <w:trPr>
          <w:gridAfter w:val="4"/>
          <w:wAfter w:w="473"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93</w:t>
            </w:r>
          </w:p>
        </w:tc>
        <w:tc>
          <w:tcPr>
            <w:tcW w:w="1531" w:type="dxa"/>
            <w:gridSpan w:val="6"/>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126</w:t>
            </w:r>
          </w:p>
        </w:tc>
      </w:tr>
      <w:tr w:rsidR="0009212F" w:rsidRPr="0009212F" w:rsidTr="0009212F">
        <w:trPr>
          <w:gridAfter w:val="4"/>
          <w:wAfter w:w="473"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r>
      <w:tr w:rsidR="0009212F" w:rsidRPr="0009212F" w:rsidTr="0009212F">
        <w:trPr>
          <w:gridAfter w:val="4"/>
          <w:wAfter w:w="473" w:type="dxa"/>
          <w:trHeight w:val="285"/>
        </w:trPr>
        <w:tc>
          <w:tcPr>
            <w:tcW w:w="723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 xml:space="preserve">Computer Hardware </w:t>
            </w: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gridAfter w:val="4"/>
          <w:wAfter w:w="473"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At cost </w:t>
            </w: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349</w:t>
            </w: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380</w:t>
            </w:r>
          </w:p>
        </w:tc>
      </w:tr>
      <w:tr w:rsidR="0009212F" w:rsidRPr="0009212F" w:rsidTr="0009212F">
        <w:trPr>
          <w:gridAfter w:val="4"/>
          <w:wAfter w:w="473" w:type="dxa"/>
          <w:trHeight w:val="285"/>
        </w:trPr>
        <w:tc>
          <w:tcPr>
            <w:tcW w:w="723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Accumulated depreciation</w:t>
            </w: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(269)</w:t>
            </w: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(307)</w:t>
            </w:r>
          </w:p>
        </w:tc>
      </w:tr>
      <w:tr w:rsidR="0009212F" w:rsidRPr="0009212F" w:rsidTr="0009212F">
        <w:trPr>
          <w:gridAfter w:val="4"/>
          <w:wAfter w:w="473"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80</w:t>
            </w:r>
          </w:p>
        </w:tc>
        <w:tc>
          <w:tcPr>
            <w:tcW w:w="1531" w:type="dxa"/>
            <w:gridSpan w:val="6"/>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73</w:t>
            </w:r>
          </w:p>
        </w:tc>
      </w:tr>
      <w:tr w:rsidR="0009212F" w:rsidRPr="0009212F" w:rsidTr="0009212F">
        <w:trPr>
          <w:gridAfter w:val="4"/>
          <w:wAfter w:w="473"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173</w:t>
            </w:r>
          </w:p>
        </w:tc>
        <w:tc>
          <w:tcPr>
            <w:tcW w:w="1531" w:type="dxa"/>
            <w:gridSpan w:val="6"/>
            <w:tcBorders>
              <w:top w:val="nil"/>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199</w:t>
            </w:r>
          </w:p>
        </w:tc>
      </w:tr>
      <w:tr w:rsidR="0009212F" w:rsidRPr="0009212F" w:rsidTr="0009212F">
        <w:trPr>
          <w:gridAfter w:val="13"/>
          <w:wAfter w:w="2321"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3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0"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1"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13"/>
          <w:wAfter w:w="2321" w:type="dxa"/>
          <w:trHeight w:val="495"/>
        </w:trPr>
        <w:tc>
          <w:tcPr>
            <w:tcW w:w="9044" w:type="dxa"/>
            <w:gridSpan w:val="1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Reconciliations of the carrying amounts of plant and equipment at the beginning and end of the reporting period are set out in the table below: </w:t>
            </w:r>
          </w:p>
        </w:tc>
      </w:tr>
      <w:tr w:rsidR="0009212F" w:rsidRPr="0009212F" w:rsidTr="0009212F">
        <w:trPr>
          <w:gridAfter w:val="4"/>
          <w:wAfter w:w="473" w:type="dxa"/>
          <w:trHeight w:val="285"/>
        </w:trPr>
        <w:tc>
          <w:tcPr>
            <w:tcW w:w="723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Reconciliations:</w:t>
            </w: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4"/>
          <w:wAfter w:w="473"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Equipment</w:t>
            </w: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gridAfter w:val="4"/>
          <w:wAfter w:w="473" w:type="dxa"/>
          <w:trHeight w:val="285"/>
        </w:trPr>
        <w:tc>
          <w:tcPr>
            <w:tcW w:w="723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Carrying amount at start of period</w:t>
            </w: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126</w:t>
            </w: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92</w:t>
            </w:r>
          </w:p>
        </w:tc>
      </w:tr>
      <w:tr w:rsidR="0009212F" w:rsidRPr="0009212F" w:rsidTr="0009212F">
        <w:trPr>
          <w:gridAfter w:val="4"/>
          <w:wAfter w:w="473"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Additions</w:t>
            </w: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63</w:t>
            </w:r>
          </w:p>
        </w:tc>
      </w:tr>
      <w:tr w:rsidR="0009212F" w:rsidRPr="0009212F" w:rsidTr="0009212F">
        <w:trPr>
          <w:gridAfter w:val="4"/>
          <w:wAfter w:w="473"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Depreciation</w:t>
            </w: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(33)</w:t>
            </w: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(29)</w:t>
            </w:r>
          </w:p>
        </w:tc>
      </w:tr>
      <w:tr w:rsidR="0009212F" w:rsidRPr="0009212F" w:rsidTr="0009212F">
        <w:trPr>
          <w:gridAfter w:val="4"/>
          <w:wAfter w:w="473" w:type="dxa"/>
          <w:trHeight w:val="300"/>
        </w:trPr>
        <w:tc>
          <w:tcPr>
            <w:tcW w:w="723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Carrying amount at end of period</w:t>
            </w: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93</w:t>
            </w:r>
          </w:p>
        </w:tc>
        <w:tc>
          <w:tcPr>
            <w:tcW w:w="1531" w:type="dxa"/>
            <w:gridSpan w:val="6"/>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126</w:t>
            </w:r>
          </w:p>
        </w:tc>
      </w:tr>
      <w:tr w:rsidR="0009212F" w:rsidRPr="0009212F" w:rsidTr="0009212F">
        <w:trPr>
          <w:gridAfter w:val="4"/>
          <w:wAfter w:w="473" w:type="dxa"/>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7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55"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gridAfter w:val="1"/>
          <w:wAfter w:w="346" w:type="dxa"/>
          <w:trHeight w:val="285"/>
        </w:trPr>
        <w:tc>
          <w:tcPr>
            <w:tcW w:w="595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Computer Hardware</w:t>
            </w:r>
          </w:p>
        </w:tc>
        <w:tc>
          <w:tcPr>
            <w:tcW w:w="2552" w:type="dxa"/>
            <w:gridSpan w:val="11"/>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82"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1"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gridAfter w:val="2"/>
          <w:wAfter w:w="377" w:type="dxa"/>
          <w:trHeight w:val="285"/>
        </w:trPr>
        <w:tc>
          <w:tcPr>
            <w:tcW w:w="595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Carrying amount at start of period</w:t>
            </w:r>
          </w:p>
        </w:tc>
        <w:tc>
          <w:tcPr>
            <w:tcW w:w="1843"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64"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73</w:t>
            </w:r>
          </w:p>
        </w:tc>
        <w:tc>
          <w:tcPr>
            <w:tcW w:w="1627"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20</w:t>
            </w:r>
          </w:p>
        </w:tc>
      </w:tr>
      <w:tr w:rsidR="0009212F" w:rsidRPr="0009212F" w:rsidTr="004B6B77">
        <w:trPr>
          <w:gridAfter w:val="2"/>
          <w:wAfter w:w="377"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Additions</w:t>
            </w:r>
          </w:p>
        </w:tc>
        <w:tc>
          <w:tcPr>
            <w:tcW w:w="449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43"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64"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43</w:t>
            </w:r>
          </w:p>
        </w:tc>
        <w:tc>
          <w:tcPr>
            <w:tcW w:w="1627"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68</w:t>
            </w:r>
          </w:p>
        </w:tc>
      </w:tr>
      <w:tr w:rsidR="0009212F" w:rsidRPr="0009212F" w:rsidTr="004B6B77">
        <w:trPr>
          <w:gridAfter w:val="2"/>
          <w:wAfter w:w="377"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Depreciation</w:t>
            </w:r>
          </w:p>
        </w:tc>
        <w:tc>
          <w:tcPr>
            <w:tcW w:w="449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43"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64"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(36)</w:t>
            </w:r>
          </w:p>
        </w:tc>
        <w:tc>
          <w:tcPr>
            <w:tcW w:w="1627"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w:t>
            </w:r>
          </w:p>
        </w:tc>
      </w:tr>
      <w:tr w:rsidR="0009212F" w:rsidRPr="0009212F" w:rsidTr="004B6B77">
        <w:trPr>
          <w:gridAfter w:val="2"/>
          <w:wAfter w:w="377" w:type="dxa"/>
          <w:trHeight w:val="300"/>
        </w:trPr>
        <w:tc>
          <w:tcPr>
            <w:tcW w:w="595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Carrying amount at end of period</w:t>
            </w:r>
          </w:p>
        </w:tc>
        <w:tc>
          <w:tcPr>
            <w:tcW w:w="1843"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64" w:type="dxa"/>
            <w:gridSpan w:val="8"/>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80</w:t>
            </w:r>
          </w:p>
        </w:tc>
        <w:tc>
          <w:tcPr>
            <w:tcW w:w="1627" w:type="dxa"/>
            <w:gridSpan w:val="8"/>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73</w:t>
            </w:r>
          </w:p>
        </w:tc>
      </w:tr>
      <w:tr w:rsidR="0009212F" w:rsidRPr="0009212F" w:rsidTr="004B6B77">
        <w:trPr>
          <w:gridAfter w:val="2"/>
          <w:wAfter w:w="377"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Total</w:t>
            </w: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49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43"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64"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627"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4B6B77">
        <w:trPr>
          <w:gridAfter w:val="2"/>
          <w:wAfter w:w="377" w:type="dxa"/>
          <w:trHeight w:val="285"/>
        </w:trPr>
        <w:tc>
          <w:tcPr>
            <w:tcW w:w="595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Carrying amount at start of period</w:t>
            </w:r>
          </w:p>
        </w:tc>
        <w:tc>
          <w:tcPr>
            <w:tcW w:w="1843"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64"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199</w:t>
            </w:r>
          </w:p>
        </w:tc>
        <w:tc>
          <w:tcPr>
            <w:tcW w:w="1627"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112</w:t>
            </w:r>
          </w:p>
        </w:tc>
      </w:tr>
      <w:tr w:rsidR="0009212F" w:rsidRPr="0009212F" w:rsidTr="004B6B77">
        <w:trPr>
          <w:gridAfter w:val="2"/>
          <w:wAfter w:w="377"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Additions</w:t>
            </w:r>
          </w:p>
        </w:tc>
        <w:tc>
          <w:tcPr>
            <w:tcW w:w="449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43"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64"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43</w:t>
            </w:r>
          </w:p>
        </w:tc>
        <w:tc>
          <w:tcPr>
            <w:tcW w:w="1627"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131</w:t>
            </w:r>
          </w:p>
        </w:tc>
      </w:tr>
      <w:tr w:rsidR="0009212F" w:rsidRPr="0009212F" w:rsidTr="004B6B77">
        <w:trPr>
          <w:gridAfter w:val="2"/>
          <w:wAfter w:w="377" w:type="dxa"/>
          <w:trHeight w:val="285"/>
        </w:trPr>
        <w:tc>
          <w:tcPr>
            <w:tcW w:w="145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Depreciation</w:t>
            </w:r>
          </w:p>
        </w:tc>
        <w:tc>
          <w:tcPr>
            <w:tcW w:w="449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43"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64"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(69)</w:t>
            </w:r>
          </w:p>
        </w:tc>
        <w:tc>
          <w:tcPr>
            <w:tcW w:w="1627"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(44)</w:t>
            </w:r>
          </w:p>
        </w:tc>
      </w:tr>
      <w:tr w:rsidR="0009212F" w:rsidRPr="0009212F" w:rsidTr="004B6B77">
        <w:trPr>
          <w:gridAfter w:val="2"/>
          <w:wAfter w:w="377" w:type="dxa"/>
          <w:trHeight w:val="300"/>
        </w:trPr>
        <w:tc>
          <w:tcPr>
            <w:tcW w:w="595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Carrying amount at end of period</w:t>
            </w:r>
          </w:p>
        </w:tc>
        <w:tc>
          <w:tcPr>
            <w:tcW w:w="1843"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64" w:type="dxa"/>
            <w:gridSpan w:val="8"/>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173</w:t>
            </w:r>
          </w:p>
        </w:tc>
        <w:tc>
          <w:tcPr>
            <w:tcW w:w="1627" w:type="dxa"/>
            <w:gridSpan w:val="8"/>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199</w:t>
            </w:r>
          </w:p>
        </w:tc>
      </w:tr>
      <w:tr w:rsidR="0009212F" w:rsidRPr="0009212F" w:rsidTr="004B6B77">
        <w:trPr>
          <w:gridAfter w:val="1"/>
          <w:wAfter w:w="346" w:type="dxa"/>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7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49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552" w:type="dxa"/>
            <w:gridSpan w:val="11"/>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82"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31"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300"/>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18.</w:t>
            </w:r>
          </w:p>
        </w:tc>
        <w:tc>
          <w:tcPr>
            <w:tcW w:w="4379"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Intangible asset</w:t>
            </w:r>
          </w:p>
        </w:tc>
        <w:tc>
          <w:tcPr>
            <w:tcW w:w="1889"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890" w:type="dxa"/>
            <w:gridSpan w:val="1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76"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39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85"/>
        </w:trPr>
        <w:tc>
          <w:tcPr>
            <w:tcW w:w="5812"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Computer software</w:t>
            </w:r>
          </w:p>
        </w:tc>
        <w:tc>
          <w:tcPr>
            <w:tcW w:w="1889"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90" w:type="dxa"/>
            <w:gridSpan w:val="1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376"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39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09212F">
        <w:trPr>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At cost</w:t>
            </w: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379"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89"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90" w:type="dxa"/>
            <w:gridSpan w:val="1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2,469</w:t>
            </w:r>
          </w:p>
        </w:tc>
        <w:tc>
          <w:tcPr>
            <w:tcW w:w="1376"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2,374</w:t>
            </w:r>
          </w:p>
        </w:tc>
        <w:tc>
          <w:tcPr>
            <w:tcW w:w="39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85"/>
        </w:trPr>
        <w:tc>
          <w:tcPr>
            <w:tcW w:w="5812"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Accumulated amortisation</w:t>
            </w:r>
          </w:p>
        </w:tc>
        <w:tc>
          <w:tcPr>
            <w:tcW w:w="1889"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90" w:type="dxa"/>
            <w:gridSpan w:val="1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(563)</w:t>
            </w:r>
          </w:p>
        </w:tc>
        <w:tc>
          <w:tcPr>
            <w:tcW w:w="1376"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(398)</w:t>
            </w:r>
          </w:p>
        </w:tc>
        <w:tc>
          <w:tcPr>
            <w:tcW w:w="39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85"/>
        </w:trPr>
        <w:tc>
          <w:tcPr>
            <w:tcW w:w="88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379"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89"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890" w:type="dxa"/>
            <w:gridSpan w:val="12"/>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1,906</w:t>
            </w:r>
          </w:p>
        </w:tc>
        <w:tc>
          <w:tcPr>
            <w:tcW w:w="1376" w:type="dxa"/>
            <w:gridSpan w:val="4"/>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1,976</w:t>
            </w:r>
          </w:p>
        </w:tc>
        <w:tc>
          <w:tcPr>
            <w:tcW w:w="39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bl>
      <w:tblPr>
        <w:tblW w:w="12566" w:type="dxa"/>
        <w:tblInd w:w="108" w:type="dxa"/>
        <w:tblLook w:val="04A0" w:firstRow="1" w:lastRow="0" w:firstColumn="1" w:lastColumn="0" w:noHBand="0" w:noVBand="1"/>
      </w:tblPr>
      <w:tblGrid>
        <w:gridCol w:w="817"/>
        <w:gridCol w:w="509"/>
        <w:gridCol w:w="2184"/>
        <w:gridCol w:w="654"/>
        <w:gridCol w:w="397"/>
        <w:gridCol w:w="216"/>
        <w:gridCol w:w="329"/>
        <w:gridCol w:w="216"/>
        <w:gridCol w:w="216"/>
        <w:gridCol w:w="216"/>
        <w:gridCol w:w="216"/>
        <w:gridCol w:w="432"/>
        <w:gridCol w:w="216"/>
        <w:gridCol w:w="216"/>
        <w:gridCol w:w="216"/>
        <w:gridCol w:w="216"/>
        <w:gridCol w:w="216"/>
        <w:gridCol w:w="222"/>
        <w:gridCol w:w="801"/>
        <w:gridCol w:w="216"/>
        <w:gridCol w:w="216"/>
        <w:gridCol w:w="216"/>
        <w:gridCol w:w="216"/>
        <w:gridCol w:w="216"/>
        <w:gridCol w:w="223"/>
        <w:gridCol w:w="332"/>
        <w:gridCol w:w="793"/>
        <w:gridCol w:w="1033"/>
        <w:gridCol w:w="183"/>
        <w:gridCol w:w="22"/>
        <w:gridCol w:w="159"/>
        <w:gridCol w:w="236"/>
      </w:tblGrid>
      <w:tr w:rsidR="0009212F" w:rsidRPr="0009212F" w:rsidTr="007D38A8">
        <w:trPr>
          <w:trHeight w:val="285"/>
        </w:trPr>
        <w:tc>
          <w:tcPr>
            <w:tcW w:w="3510"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Work in progress</w:t>
            </w:r>
          </w:p>
        </w:tc>
        <w:tc>
          <w:tcPr>
            <w:tcW w:w="1812"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831" w:type="dxa"/>
            <w:gridSpan w:val="1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177"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7D38A8">
        <w:trPr>
          <w:gridAfter w:val="3"/>
          <w:wAfter w:w="417" w:type="dxa"/>
          <w:trHeight w:val="285"/>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At cost</w:t>
            </w: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8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63" w:type="dxa"/>
            <w:gridSpan w:val="1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771" w:type="dxa"/>
            <w:gridSpan w:val="3"/>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38</w:t>
            </w:r>
          </w:p>
        </w:tc>
        <w:tc>
          <w:tcPr>
            <w:tcW w:w="2009"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2"/>
          <w:wAfter w:w="395" w:type="dxa"/>
          <w:trHeight w:val="285"/>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8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211" w:type="dxa"/>
            <w:gridSpan w:val="1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64" w:type="dxa"/>
            <w:gridSpan w:val="4"/>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348" w:type="dxa"/>
            <w:gridSpan w:val="3"/>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38</w:t>
            </w:r>
          </w:p>
        </w:tc>
        <w:tc>
          <w:tcPr>
            <w:tcW w:w="123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2"/>
          <w:wAfter w:w="395" w:type="dxa"/>
          <w:trHeight w:val="300"/>
        </w:trPr>
        <w:tc>
          <w:tcPr>
            <w:tcW w:w="3510"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intangible asset</w:t>
            </w:r>
          </w:p>
        </w:tc>
        <w:tc>
          <w:tcPr>
            <w:tcW w:w="5211" w:type="dxa"/>
            <w:gridSpan w:val="1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64" w:type="dxa"/>
            <w:gridSpan w:val="4"/>
            <w:tcBorders>
              <w:top w:val="nil"/>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1,906</w:t>
            </w:r>
          </w:p>
        </w:tc>
        <w:tc>
          <w:tcPr>
            <w:tcW w:w="1348" w:type="dxa"/>
            <w:gridSpan w:val="3"/>
            <w:tcBorders>
              <w:top w:val="nil"/>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123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12"/>
          <w:wAfter w:w="3845" w:type="dxa"/>
          <w:trHeight w:val="285"/>
        </w:trPr>
        <w:tc>
          <w:tcPr>
            <w:tcW w:w="3510" w:type="dxa"/>
            <w:gridSpan w:val="3"/>
            <w:tcBorders>
              <w:top w:val="nil"/>
              <w:left w:val="nil"/>
              <w:bottom w:val="nil"/>
              <w:right w:val="nil"/>
            </w:tcBorders>
            <w:shd w:val="clear" w:color="auto" w:fill="auto"/>
            <w:noWrap/>
            <w:vAlign w:val="bottom"/>
            <w:hideMark/>
          </w:tcPr>
          <w:p w:rsidR="004B6B77" w:rsidRDefault="004B6B77" w:rsidP="0009212F">
            <w:pPr>
              <w:pStyle w:val="BodyCopy"/>
              <w:tabs>
                <w:tab w:val="left" w:pos="709"/>
              </w:tabs>
              <w:spacing w:before="40" w:after="40" w:line="160" w:lineRule="atLeast"/>
              <w:ind w:left="1418" w:hanging="1418"/>
              <w:rPr>
                <w:b/>
                <w:bCs/>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Reconciliations:</w:t>
            </w:r>
          </w:p>
        </w:tc>
        <w:tc>
          <w:tcPr>
            <w:tcW w:w="1812"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0"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2"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1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7"/>
          <w:wAfter w:w="2758" w:type="dxa"/>
          <w:trHeight w:val="285"/>
        </w:trPr>
        <w:tc>
          <w:tcPr>
            <w:tcW w:w="416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Computer Software</w:t>
            </w:r>
          </w:p>
        </w:tc>
        <w:tc>
          <w:tcPr>
            <w:tcW w:w="159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12"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7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871"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4"/>
          <w:wAfter w:w="600" w:type="dxa"/>
          <w:trHeight w:val="285"/>
        </w:trPr>
        <w:tc>
          <w:tcPr>
            <w:tcW w:w="416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Carrying amount at start of period</w:t>
            </w: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1,976</w:t>
            </w:r>
          </w:p>
        </w:tc>
        <w:tc>
          <w:tcPr>
            <w:tcW w:w="1125"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2,067</w:t>
            </w: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5049C0" w:rsidRPr="0009212F" w:rsidTr="00B40057">
        <w:trPr>
          <w:gridAfter w:val="4"/>
          <w:wAfter w:w="600" w:type="dxa"/>
          <w:trHeight w:val="285"/>
        </w:trPr>
        <w:tc>
          <w:tcPr>
            <w:tcW w:w="11966" w:type="dxa"/>
            <w:gridSpan w:val="28"/>
            <w:tcBorders>
              <w:top w:val="nil"/>
              <w:left w:val="nil"/>
              <w:bottom w:val="nil"/>
              <w:right w:val="nil"/>
            </w:tcBorders>
            <w:shd w:val="clear" w:color="auto" w:fill="auto"/>
            <w:noWrap/>
            <w:vAlign w:val="bottom"/>
          </w:tcPr>
          <w:p w:rsidR="005049C0" w:rsidRPr="0009212F" w:rsidRDefault="005049C0" w:rsidP="005049C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09212F" w:rsidRPr="0009212F" w:rsidTr="007D38A8">
        <w:trPr>
          <w:gridAfter w:val="4"/>
          <w:wAfter w:w="600" w:type="dxa"/>
          <w:trHeight w:val="285"/>
        </w:trPr>
        <w:tc>
          <w:tcPr>
            <w:tcW w:w="132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Additions</w:t>
            </w:r>
          </w:p>
        </w:tc>
        <w:tc>
          <w:tcPr>
            <w:tcW w:w="283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57</w:t>
            </w:r>
          </w:p>
        </w:tc>
        <w:tc>
          <w:tcPr>
            <w:tcW w:w="1125"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63</w:t>
            </w: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4"/>
          <w:wAfter w:w="600" w:type="dxa"/>
          <w:trHeight w:val="285"/>
        </w:trPr>
        <w:tc>
          <w:tcPr>
            <w:tcW w:w="132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Transfer</w:t>
            </w:r>
          </w:p>
        </w:tc>
        <w:tc>
          <w:tcPr>
            <w:tcW w:w="283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38</w:t>
            </w:r>
          </w:p>
        </w:tc>
        <w:tc>
          <w:tcPr>
            <w:tcW w:w="1125"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4"/>
          <w:wAfter w:w="600" w:type="dxa"/>
          <w:trHeight w:val="285"/>
        </w:trPr>
        <w:tc>
          <w:tcPr>
            <w:tcW w:w="416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Amortisation expense</w:t>
            </w: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(165)</w:t>
            </w:r>
          </w:p>
        </w:tc>
        <w:tc>
          <w:tcPr>
            <w:tcW w:w="1125"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(154)</w:t>
            </w: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4"/>
          <w:wAfter w:w="600" w:type="dxa"/>
          <w:trHeight w:val="300"/>
        </w:trPr>
        <w:tc>
          <w:tcPr>
            <w:tcW w:w="416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Carrying amount at end of period</w:t>
            </w: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1,906</w:t>
            </w:r>
          </w:p>
        </w:tc>
        <w:tc>
          <w:tcPr>
            <w:tcW w:w="1125"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1,976</w:t>
            </w: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4"/>
          <w:wAfter w:w="600" w:type="dxa"/>
          <w:trHeight w:val="300"/>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83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25"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4"/>
          <w:wAfter w:w="600" w:type="dxa"/>
          <w:trHeight w:val="285"/>
        </w:trPr>
        <w:tc>
          <w:tcPr>
            <w:tcW w:w="416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Work In Progress</w:t>
            </w: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25"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4"/>
          <w:wAfter w:w="600" w:type="dxa"/>
          <w:trHeight w:val="285"/>
        </w:trPr>
        <w:tc>
          <w:tcPr>
            <w:tcW w:w="416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Carrying amount at start of period</w:t>
            </w: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38</w:t>
            </w:r>
          </w:p>
        </w:tc>
        <w:tc>
          <w:tcPr>
            <w:tcW w:w="1125"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4"/>
          <w:wAfter w:w="600" w:type="dxa"/>
          <w:trHeight w:val="285"/>
        </w:trPr>
        <w:tc>
          <w:tcPr>
            <w:tcW w:w="132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Additions</w:t>
            </w:r>
          </w:p>
        </w:tc>
        <w:tc>
          <w:tcPr>
            <w:tcW w:w="283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125"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38</w:t>
            </w: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4"/>
          <w:wAfter w:w="600" w:type="dxa"/>
          <w:trHeight w:val="285"/>
        </w:trPr>
        <w:tc>
          <w:tcPr>
            <w:tcW w:w="132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Transfer</w:t>
            </w:r>
          </w:p>
        </w:tc>
        <w:tc>
          <w:tcPr>
            <w:tcW w:w="283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(38)</w:t>
            </w:r>
          </w:p>
        </w:tc>
        <w:tc>
          <w:tcPr>
            <w:tcW w:w="1125"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4"/>
          <w:wAfter w:w="600" w:type="dxa"/>
          <w:trHeight w:val="300"/>
        </w:trPr>
        <w:tc>
          <w:tcPr>
            <w:tcW w:w="416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Carrying amount at end of period</w:t>
            </w:r>
          </w:p>
        </w:tc>
        <w:tc>
          <w:tcPr>
            <w:tcW w:w="4341" w:type="dxa"/>
            <w:gridSpan w:val="1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03" w:type="dxa"/>
            <w:gridSpan w:val="6"/>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w:t>
            </w:r>
          </w:p>
        </w:tc>
        <w:tc>
          <w:tcPr>
            <w:tcW w:w="1125"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38</w:t>
            </w:r>
          </w:p>
        </w:tc>
        <w:tc>
          <w:tcPr>
            <w:tcW w:w="10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7D38A8">
        <w:trPr>
          <w:gridAfter w:val="14"/>
          <w:wAfter w:w="4862" w:type="dxa"/>
          <w:trHeight w:val="285"/>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8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93"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12"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14"/>
          <w:wAfter w:w="4862" w:type="dxa"/>
          <w:trHeight w:val="315"/>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19</w:t>
            </w:r>
          </w:p>
        </w:tc>
        <w:tc>
          <w:tcPr>
            <w:tcW w:w="218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Impairment of assets</w:t>
            </w:r>
          </w:p>
        </w:tc>
        <w:tc>
          <w:tcPr>
            <w:tcW w:w="126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193"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512"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22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7D38A8">
        <w:trPr>
          <w:gridAfter w:val="14"/>
          <w:wAfter w:w="4862" w:type="dxa"/>
          <w:trHeight w:val="315"/>
        </w:trPr>
        <w:tc>
          <w:tcPr>
            <w:tcW w:w="7704" w:type="dxa"/>
            <w:gridSpan w:val="18"/>
            <w:tcBorders>
              <w:top w:val="nil"/>
              <w:left w:val="nil"/>
              <w:bottom w:val="nil"/>
              <w:right w:val="nil"/>
            </w:tcBorders>
            <w:shd w:val="clear" w:color="auto" w:fill="auto"/>
            <w:hideMark/>
          </w:tcPr>
          <w:p w:rsidR="0009212F" w:rsidRPr="0009212F" w:rsidRDefault="0009212F" w:rsidP="004B6B77">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There were no indications of impairment to plant and equipment or intangible assets at 30 June 2015.</w:t>
            </w:r>
          </w:p>
        </w:tc>
      </w:tr>
      <w:tr w:rsidR="0009212F" w:rsidRPr="0009212F" w:rsidTr="007D38A8">
        <w:trPr>
          <w:gridAfter w:val="14"/>
          <w:wAfter w:w="4862" w:type="dxa"/>
          <w:trHeight w:val="555"/>
        </w:trPr>
        <w:tc>
          <w:tcPr>
            <w:tcW w:w="6834" w:type="dxa"/>
            <w:gridSpan w:val="14"/>
            <w:tcBorders>
              <w:top w:val="nil"/>
              <w:left w:val="nil"/>
              <w:bottom w:val="nil"/>
              <w:right w:val="nil"/>
            </w:tcBorders>
            <w:shd w:val="clear" w:color="auto" w:fill="auto"/>
            <w:vAlign w:val="bottom"/>
            <w:hideMark/>
          </w:tcPr>
          <w:p w:rsidR="0009212F" w:rsidRPr="0009212F" w:rsidRDefault="0009212F" w:rsidP="004B6B77">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Commission held no goodwill or intangible assets with an indefinite useful life during the reporting period.  At the end of the reporting period there were no intangible assets not yet available for use.</w:t>
            </w:r>
          </w:p>
        </w:tc>
        <w:tc>
          <w:tcPr>
            <w:tcW w:w="870" w:type="dxa"/>
            <w:gridSpan w:val="4"/>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14"/>
          <w:wAfter w:w="4862" w:type="dxa"/>
          <w:trHeight w:val="315"/>
        </w:trPr>
        <w:tc>
          <w:tcPr>
            <w:tcW w:w="5538" w:type="dxa"/>
            <w:gridSpan w:val="9"/>
            <w:tcBorders>
              <w:top w:val="nil"/>
              <w:left w:val="nil"/>
              <w:bottom w:val="nil"/>
              <w:right w:val="nil"/>
            </w:tcBorders>
            <w:shd w:val="clear" w:color="auto" w:fill="auto"/>
            <w:noWrap/>
            <w:hideMark/>
          </w:tcPr>
          <w:p w:rsidR="0009212F" w:rsidRPr="0009212F" w:rsidRDefault="0009212F" w:rsidP="004B6B77">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All surplus assets at 30 June 2015 have either been classified as assets held for sale or written-off.</w:t>
            </w:r>
          </w:p>
        </w:tc>
        <w:tc>
          <w:tcPr>
            <w:tcW w:w="1512" w:type="dxa"/>
            <w:gridSpan w:val="6"/>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654"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14"/>
          <w:wAfter w:w="4862" w:type="dxa"/>
          <w:trHeight w:val="315"/>
        </w:trPr>
        <w:tc>
          <w:tcPr>
            <w:tcW w:w="817"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9"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84"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93" w:type="dxa"/>
            <w:gridSpan w:val="5"/>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12" w:type="dxa"/>
            <w:gridSpan w:val="6"/>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2"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14"/>
          <w:wAfter w:w="4862" w:type="dxa"/>
          <w:trHeight w:val="300"/>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20.</w:t>
            </w:r>
          </w:p>
        </w:tc>
        <w:tc>
          <w:tcPr>
            <w:tcW w:w="218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Payables</w:t>
            </w:r>
          </w:p>
        </w:tc>
        <w:tc>
          <w:tcPr>
            <w:tcW w:w="126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193"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512"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22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7D38A8">
        <w:trPr>
          <w:gridAfter w:val="7"/>
          <w:wAfter w:w="2758" w:type="dxa"/>
          <w:trHeight w:val="300"/>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235"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97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08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2103"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1087"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spacing w:before="40" w:after="40" w:line="160" w:lineRule="atLeast"/>
              <w:ind w:left="2" w:hanging="2"/>
              <w:rPr>
                <w:b/>
                <w:bCs/>
                <w:color w:val="404040" w:themeColor="text1" w:themeTint="BF"/>
                <w:sz w:val="18"/>
                <w:szCs w:val="18"/>
                <w:lang w:val="en-AU"/>
              </w:rPr>
            </w:pPr>
          </w:p>
        </w:tc>
      </w:tr>
      <w:tr w:rsidR="0009212F" w:rsidRPr="0009212F" w:rsidTr="007D38A8">
        <w:trPr>
          <w:gridAfter w:val="7"/>
          <w:wAfter w:w="2758" w:type="dxa"/>
          <w:trHeight w:val="300"/>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235"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97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08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2103"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087"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spacing w:before="40" w:after="40" w:line="160" w:lineRule="atLeast"/>
              <w:ind w:left="2" w:hanging="2"/>
              <w:rPr>
                <w:b/>
                <w:bCs/>
                <w:color w:val="404040" w:themeColor="text1" w:themeTint="BF"/>
                <w:sz w:val="18"/>
                <w:szCs w:val="18"/>
                <w:lang w:val="en-AU"/>
              </w:rPr>
            </w:pPr>
          </w:p>
        </w:tc>
      </w:tr>
      <w:tr w:rsidR="0009212F" w:rsidRPr="0009212F" w:rsidTr="007D38A8">
        <w:trPr>
          <w:gridAfter w:val="7"/>
          <w:wAfter w:w="2758" w:type="dxa"/>
          <w:trHeight w:val="285"/>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Current</w:t>
            </w: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235"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7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2103"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87"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spacing w:before="40" w:after="40" w:line="160" w:lineRule="atLeast"/>
              <w:ind w:left="2" w:hanging="2"/>
              <w:rPr>
                <w:color w:val="404040" w:themeColor="text1" w:themeTint="BF"/>
                <w:sz w:val="18"/>
                <w:szCs w:val="18"/>
                <w:lang w:val="en-AU"/>
              </w:rPr>
            </w:pPr>
          </w:p>
        </w:tc>
      </w:tr>
      <w:tr w:rsidR="0009212F" w:rsidRPr="0009212F" w:rsidTr="007D38A8">
        <w:trPr>
          <w:gridAfter w:val="7"/>
          <w:wAfter w:w="2758" w:type="dxa"/>
          <w:trHeight w:val="285"/>
        </w:trPr>
        <w:tc>
          <w:tcPr>
            <w:tcW w:w="456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Accrued expenses</w:t>
            </w:r>
          </w:p>
        </w:tc>
        <w:tc>
          <w:tcPr>
            <w:tcW w:w="97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75</w:t>
            </w:r>
          </w:p>
        </w:tc>
        <w:tc>
          <w:tcPr>
            <w:tcW w:w="2103"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48</w:t>
            </w:r>
          </w:p>
        </w:tc>
        <w:tc>
          <w:tcPr>
            <w:tcW w:w="1087"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spacing w:before="40" w:after="40" w:line="160" w:lineRule="atLeast"/>
              <w:ind w:left="2" w:hanging="2"/>
              <w:rPr>
                <w:color w:val="404040" w:themeColor="text1" w:themeTint="BF"/>
                <w:sz w:val="18"/>
                <w:szCs w:val="18"/>
                <w:lang w:val="en-AU"/>
              </w:rPr>
            </w:pPr>
          </w:p>
        </w:tc>
      </w:tr>
      <w:tr w:rsidR="0009212F" w:rsidRPr="0009212F" w:rsidTr="007D38A8">
        <w:trPr>
          <w:gridAfter w:val="7"/>
          <w:wAfter w:w="2758" w:type="dxa"/>
          <w:trHeight w:val="285"/>
        </w:trPr>
        <w:tc>
          <w:tcPr>
            <w:tcW w:w="456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 payables</w:t>
            </w:r>
          </w:p>
        </w:tc>
        <w:tc>
          <w:tcPr>
            <w:tcW w:w="97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0"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248</w:t>
            </w:r>
          </w:p>
        </w:tc>
        <w:tc>
          <w:tcPr>
            <w:tcW w:w="2103"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96</w:t>
            </w:r>
          </w:p>
        </w:tc>
        <w:tc>
          <w:tcPr>
            <w:tcW w:w="1087"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spacing w:before="40" w:after="40" w:line="160" w:lineRule="atLeast"/>
              <w:ind w:left="2" w:hanging="2"/>
              <w:rPr>
                <w:color w:val="404040" w:themeColor="text1" w:themeTint="BF"/>
                <w:sz w:val="18"/>
                <w:szCs w:val="18"/>
                <w:lang w:val="en-AU"/>
              </w:rPr>
            </w:pPr>
          </w:p>
        </w:tc>
      </w:tr>
      <w:tr w:rsidR="0009212F" w:rsidRPr="0009212F" w:rsidTr="007D38A8">
        <w:trPr>
          <w:gridAfter w:val="7"/>
          <w:wAfter w:w="2758" w:type="dxa"/>
          <w:trHeight w:val="300"/>
        </w:trPr>
        <w:tc>
          <w:tcPr>
            <w:tcW w:w="456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current</w:t>
            </w:r>
          </w:p>
        </w:tc>
        <w:tc>
          <w:tcPr>
            <w:tcW w:w="97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0" w:type="dxa"/>
            <w:gridSpan w:val="4"/>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479</w:t>
            </w:r>
          </w:p>
        </w:tc>
        <w:tc>
          <w:tcPr>
            <w:tcW w:w="2103" w:type="dxa"/>
            <w:gridSpan w:val="7"/>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252</w:t>
            </w:r>
          </w:p>
        </w:tc>
        <w:tc>
          <w:tcPr>
            <w:tcW w:w="1087"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spacing w:before="40" w:after="40" w:line="160" w:lineRule="atLeast"/>
              <w:ind w:left="2" w:hanging="2"/>
              <w:rPr>
                <w:b/>
                <w:bCs/>
                <w:color w:val="404040" w:themeColor="text1" w:themeTint="BF"/>
                <w:sz w:val="18"/>
                <w:szCs w:val="18"/>
                <w:lang w:val="en-AU"/>
              </w:rPr>
            </w:pPr>
          </w:p>
        </w:tc>
      </w:tr>
      <w:tr w:rsidR="0009212F" w:rsidRPr="0009212F" w:rsidTr="007D38A8">
        <w:trPr>
          <w:gridAfter w:val="7"/>
          <w:wAfter w:w="2758" w:type="dxa"/>
          <w:trHeight w:val="300"/>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235"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7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0"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0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7"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spacing w:before="40" w:after="40" w:line="160" w:lineRule="atLeast"/>
              <w:ind w:left="2" w:hanging="2"/>
              <w:rPr>
                <w:color w:val="404040" w:themeColor="text1" w:themeTint="BF"/>
                <w:sz w:val="18"/>
                <w:szCs w:val="18"/>
                <w:lang w:val="en-AU"/>
              </w:rPr>
            </w:pPr>
          </w:p>
        </w:tc>
      </w:tr>
      <w:tr w:rsidR="0009212F" w:rsidRPr="0009212F" w:rsidTr="007D38A8">
        <w:trPr>
          <w:gridAfter w:val="7"/>
          <w:wAfter w:w="2758" w:type="dxa"/>
          <w:trHeight w:val="285"/>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235"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7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0"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0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7"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spacing w:before="40" w:after="40" w:line="160" w:lineRule="atLeast"/>
              <w:ind w:left="2" w:hanging="2"/>
              <w:rPr>
                <w:color w:val="404040" w:themeColor="text1" w:themeTint="BF"/>
                <w:sz w:val="18"/>
                <w:szCs w:val="18"/>
                <w:lang w:val="en-AU"/>
              </w:rPr>
            </w:pPr>
          </w:p>
        </w:tc>
      </w:tr>
      <w:tr w:rsidR="0009212F" w:rsidRPr="0009212F" w:rsidTr="007D38A8">
        <w:trPr>
          <w:gridAfter w:val="7"/>
          <w:wAfter w:w="2758" w:type="dxa"/>
          <w:trHeight w:val="285"/>
        </w:trPr>
        <w:tc>
          <w:tcPr>
            <w:tcW w:w="8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235"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7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0"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10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87"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spacing w:before="40" w:after="40" w:line="160" w:lineRule="atLeast"/>
              <w:ind w:left="2" w:hanging="2"/>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4569" w:type="dxa"/>
        <w:tblInd w:w="108" w:type="dxa"/>
        <w:tblLook w:val="04A0" w:firstRow="1" w:lastRow="0" w:firstColumn="1" w:lastColumn="0" w:noHBand="0" w:noVBand="1"/>
      </w:tblPr>
      <w:tblGrid>
        <w:gridCol w:w="750"/>
        <w:gridCol w:w="133"/>
        <w:gridCol w:w="417"/>
        <w:gridCol w:w="133"/>
        <w:gridCol w:w="3387"/>
        <w:gridCol w:w="567"/>
        <w:gridCol w:w="142"/>
        <w:gridCol w:w="283"/>
        <w:gridCol w:w="567"/>
        <w:gridCol w:w="436"/>
        <w:gridCol w:w="131"/>
        <w:gridCol w:w="219"/>
        <w:gridCol w:w="65"/>
        <w:gridCol w:w="567"/>
        <w:gridCol w:w="10"/>
        <w:gridCol w:w="276"/>
        <w:gridCol w:w="140"/>
        <w:gridCol w:w="218"/>
        <w:gridCol w:w="624"/>
        <w:gridCol w:w="10"/>
        <w:gridCol w:w="61"/>
        <w:gridCol w:w="48"/>
        <w:gridCol w:w="267"/>
        <w:gridCol w:w="366"/>
        <w:gridCol w:w="22"/>
        <w:gridCol w:w="374"/>
        <w:gridCol w:w="220"/>
        <w:gridCol w:w="10"/>
        <w:gridCol w:w="8"/>
        <w:gridCol w:w="216"/>
        <w:gridCol w:w="106"/>
        <w:gridCol w:w="74"/>
        <w:gridCol w:w="218"/>
        <w:gridCol w:w="134"/>
        <w:gridCol w:w="236"/>
        <w:gridCol w:w="47"/>
        <w:gridCol w:w="142"/>
        <w:gridCol w:w="283"/>
        <w:gridCol w:w="617"/>
        <w:gridCol w:w="193"/>
        <w:gridCol w:w="506"/>
        <w:gridCol w:w="193"/>
        <w:gridCol w:w="118"/>
        <w:gridCol w:w="617"/>
        <w:gridCol w:w="126"/>
        <w:gridCol w:w="108"/>
        <w:gridCol w:w="48"/>
        <w:gridCol w:w="137"/>
      </w:tblGrid>
      <w:tr w:rsidR="005049C0" w:rsidRPr="0009212F" w:rsidTr="00B40057">
        <w:trPr>
          <w:gridAfter w:val="15"/>
          <w:wAfter w:w="3504" w:type="dxa"/>
          <w:trHeight w:val="300"/>
        </w:trPr>
        <w:tc>
          <w:tcPr>
            <w:tcW w:w="11065" w:type="dxa"/>
            <w:gridSpan w:val="33"/>
            <w:tcBorders>
              <w:top w:val="nil"/>
              <w:left w:val="nil"/>
              <w:bottom w:val="nil"/>
              <w:right w:val="nil"/>
            </w:tcBorders>
            <w:shd w:val="clear" w:color="auto" w:fill="auto"/>
            <w:noWrap/>
            <w:vAlign w:val="bottom"/>
          </w:tcPr>
          <w:p w:rsidR="005049C0" w:rsidRPr="0009212F" w:rsidRDefault="005049C0" w:rsidP="005049C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09212F" w:rsidRPr="0009212F" w:rsidTr="00B40057">
        <w:trPr>
          <w:gridAfter w:val="15"/>
          <w:wAfter w:w="3504"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21.</w:t>
            </w:r>
          </w:p>
        </w:tc>
        <w:tc>
          <w:tcPr>
            <w:tcW w:w="551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Provisions</w:t>
            </w:r>
          </w:p>
        </w:tc>
        <w:tc>
          <w:tcPr>
            <w:tcW w:w="1277"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i/>
                <w:iCs/>
                <w:color w:val="404040" w:themeColor="text1" w:themeTint="BF"/>
                <w:sz w:val="18"/>
                <w:szCs w:val="18"/>
                <w:lang w:val="en-AU"/>
              </w:rPr>
            </w:pPr>
          </w:p>
        </w:tc>
        <w:tc>
          <w:tcPr>
            <w:tcW w:w="961"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i/>
                <w:iCs/>
                <w:color w:val="404040" w:themeColor="text1" w:themeTint="BF"/>
                <w:sz w:val="18"/>
                <w:szCs w:val="18"/>
                <w:lang w:val="en-AU"/>
              </w:rPr>
            </w:pPr>
          </w:p>
        </w:tc>
        <w:tc>
          <w:tcPr>
            <w:tcW w:w="1483"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39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5"/>
          <w:wAfter w:w="3504"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1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7"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i/>
                <w:iCs/>
                <w:color w:val="404040" w:themeColor="text1" w:themeTint="BF"/>
                <w:sz w:val="18"/>
                <w:szCs w:val="18"/>
                <w:lang w:val="en-AU"/>
              </w:rPr>
            </w:pPr>
          </w:p>
        </w:tc>
        <w:tc>
          <w:tcPr>
            <w:tcW w:w="961"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483"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39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5"/>
          <w:wAfter w:w="3504"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1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77"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961"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483"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39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5"/>
          <w:wAfter w:w="3504"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Current</w:t>
            </w: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13"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7"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61"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83"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8"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2"/>
          <w:wAfter w:w="474" w:type="dxa"/>
          <w:trHeight w:val="285"/>
        </w:trPr>
        <w:tc>
          <w:tcPr>
            <w:tcW w:w="5812"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Employee benefits provision</w:t>
            </w:r>
          </w:p>
        </w:tc>
        <w:tc>
          <w:tcPr>
            <w:tcW w:w="2411"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i/>
                <w:iCs/>
                <w:color w:val="404040" w:themeColor="text1" w:themeTint="BF"/>
                <w:sz w:val="18"/>
                <w:szCs w:val="18"/>
                <w:lang w:val="en-AU"/>
              </w:rPr>
            </w:pPr>
          </w:p>
        </w:tc>
        <w:tc>
          <w:tcPr>
            <w:tcW w:w="913"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i/>
                <w:iCs/>
                <w:color w:val="404040" w:themeColor="text1" w:themeTint="BF"/>
                <w:sz w:val="18"/>
                <w:szCs w:val="18"/>
                <w:lang w:val="en-AU"/>
              </w:rPr>
            </w:pPr>
          </w:p>
        </w:tc>
        <w:tc>
          <w:tcPr>
            <w:tcW w:w="4280" w:type="dxa"/>
            <w:gridSpan w:val="21"/>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i/>
                <w:iCs/>
                <w:color w:val="404040" w:themeColor="text1" w:themeTint="BF"/>
                <w:sz w:val="18"/>
                <w:szCs w:val="18"/>
                <w:lang w:val="en-AU"/>
              </w:rPr>
            </w:pPr>
          </w:p>
        </w:tc>
        <w:tc>
          <w:tcPr>
            <w:tcW w:w="679"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r>
      <w:tr w:rsidR="0009212F" w:rsidRPr="0009212F" w:rsidTr="00B40057">
        <w:trPr>
          <w:gridAfter w:val="8"/>
          <w:wAfter w:w="1852" w:type="dxa"/>
          <w:trHeight w:val="285"/>
        </w:trPr>
        <w:tc>
          <w:tcPr>
            <w:tcW w:w="4820"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Annual leave</w:t>
            </w:r>
            <w:r w:rsidRPr="0009212F">
              <w:rPr>
                <w:color w:val="404040" w:themeColor="text1" w:themeTint="BF"/>
                <w:sz w:val="18"/>
                <w:szCs w:val="18"/>
                <w:vertAlign w:val="superscript"/>
                <w:lang w:val="en-AU"/>
              </w:rPr>
              <w:t>(a)</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845"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272</w:t>
            </w:r>
          </w:p>
        </w:tc>
        <w:tc>
          <w:tcPr>
            <w:tcW w:w="1592" w:type="dxa"/>
            <w:gridSpan w:val="10"/>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290</w:t>
            </w:r>
          </w:p>
        </w:tc>
        <w:tc>
          <w:tcPr>
            <w:tcW w:w="205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8"/>
          <w:wAfter w:w="1852" w:type="dxa"/>
          <w:trHeight w:val="285"/>
        </w:trPr>
        <w:tc>
          <w:tcPr>
            <w:tcW w:w="4820"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Long service leave</w:t>
            </w:r>
            <w:r w:rsidRPr="0009212F">
              <w:rPr>
                <w:color w:val="404040" w:themeColor="text1" w:themeTint="BF"/>
                <w:sz w:val="18"/>
                <w:szCs w:val="18"/>
                <w:vertAlign w:val="superscript"/>
                <w:lang w:val="en-AU"/>
              </w:rPr>
              <w:t>(b)</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845"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531</w:t>
            </w:r>
          </w:p>
        </w:tc>
        <w:tc>
          <w:tcPr>
            <w:tcW w:w="1592" w:type="dxa"/>
            <w:gridSpan w:val="10"/>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503</w:t>
            </w:r>
          </w:p>
        </w:tc>
        <w:tc>
          <w:tcPr>
            <w:tcW w:w="205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8"/>
          <w:wAfter w:w="1852" w:type="dxa"/>
          <w:trHeight w:val="315"/>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38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845" w:type="dxa"/>
            <w:gridSpan w:val="7"/>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803</w:t>
            </w:r>
          </w:p>
        </w:tc>
        <w:tc>
          <w:tcPr>
            <w:tcW w:w="1592" w:type="dxa"/>
            <w:gridSpan w:val="10"/>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793</w:t>
            </w:r>
          </w:p>
        </w:tc>
        <w:tc>
          <w:tcPr>
            <w:tcW w:w="205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8"/>
          <w:wAfter w:w="1852" w:type="dxa"/>
          <w:trHeight w:val="285"/>
        </w:trPr>
        <w:tc>
          <w:tcPr>
            <w:tcW w:w="4820"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Other provisions</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i/>
                <w:iCs/>
                <w:color w:val="404040" w:themeColor="text1" w:themeTint="BF"/>
                <w:sz w:val="18"/>
                <w:szCs w:val="18"/>
                <w:lang w:val="en-AU"/>
              </w:rPr>
            </w:pPr>
          </w:p>
        </w:tc>
        <w:tc>
          <w:tcPr>
            <w:tcW w:w="1845"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i/>
                <w:iCs/>
                <w:color w:val="404040" w:themeColor="text1" w:themeTint="BF"/>
                <w:sz w:val="18"/>
                <w:szCs w:val="18"/>
                <w:lang w:val="en-AU"/>
              </w:rPr>
            </w:pPr>
          </w:p>
        </w:tc>
        <w:tc>
          <w:tcPr>
            <w:tcW w:w="1592" w:type="dxa"/>
            <w:gridSpan w:val="10"/>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i/>
                <w:iCs/>
                <w:color w:val="404040" w:themeColor="text1" w:themeTint="BF"/>
                <w:sz w:val="18"/>
                <w:szCs w:val="18"/>
                <w:lang w:val="en-AU"/>
              </w:rPr>
            </w:pPr>
          </w:p>
        </w:tc>
        <w:tc>
          <w:tcPr>
            <w:tcW w:w="205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r>
      <w:tr w:rsidR="0009212F" w:rsidRPr="0009212F" w:rsidTr="00B40057">
        <w:trPr>
          <w:gridAfter w:val="8"/>
          <w:wAfter w:w="1852" w:type="dxa"/>
          <w:trHeight w:val="285"/>
        </w:trPr>
        <w:tc>
          <w:tcPr>
            <w:tcW w:w="4820"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Employment on-costs</w:t>
            </w:r>
            <w:r w:rsidRPr="0009212F">
              <w:rPr>
                <w:color w:val="404040" w:themeColor="text1" w:themeTint="BF"/>
                <w:sz w:val="18"/>
                <w:szCs w:val="18"/>
                <w:vertAlign w:val="superscript"/>
                <w:lang w:val="en-AU"/>
              </w:rPr>
              <w:t>(c)</w:t>
            </w:r>
            <w:r w:rsidRPr="0009212F">
              <w:rPr>
                <w:color w:val="404040" w:themeColor="text1" w:themeTint="BF"/>
                <w:sz w:val="18"/>
                <w:szCs w:val="18"/>
                <w:lang w:val="en-AU"/>
              </w:rPr>
              <w:t xml:space="preserve"> </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845" w:type="dxa"/>
            <w:gridSpan w:val="7"/>
            <w:tcBorders>
              <w:top w:val="nil"/>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w:t>
            </w:r>
          </w:p>
        </w:tc>
        <w:tc>
          <w:tcPr>
            <w:tcW w:w="1592" w:type="dxa"/>
            <w:gridSpan w:val="10"/>
            <w:tcBorders>
              <w:top w:val="nil"/>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w:t>
            </w:r>
          </w:p>
        </w:tc>
        <w:tc>
          <w:tcPr>
            <w:tcW w:w="205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8"/>
          <w:wAfter w:w="1852" w:type="dxa"/>
          <w:trHeight w:val="285"/>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38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845" w:type="dxa"/>
            <w:gridSpan w:val="7"/>
            <w:tcBorders>
              <w:top w:val="nil"/>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w:t>
            </w:r>
          </w:p>
        </w:tc>
        <w:tc>
          <w:tcPr>
            <w:tcW w:w="1592" w:type="dxa"/>
            <w:gridSpan w:val="10"/>
            <w:tcBorders>
              <w:top w:val="nil"/>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w:t>
            </w:r>
          </w:p>
        </w:tc>
        <w:tc>
          <w:tcPr>
            <w:tcW w:w="205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8"/>
          <w:wAfter w:w="1852" w:type="dxa"/>
          <w:trHeight w:val="300"/>
        </w:trPr>
        <w:tc>
          <w:tcPr>
            <w:tcW w:w="883"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38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845" w:type="dxa"/>
            <w:gridSpan w:val="7"/>
            <w:tcBorders>
              <w:top w:val="nil"/>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814</w:t>
            </w:r>
          </w:p>
        </w:tc>
        <w:tc>
          <w:tcPr>
            <w:tcW w:w="1592" w:type="dxa"/>
            <w:gridSpan w:val="10"/>
            <w:tcBorders>
              <w:top w:val="nil"/>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804</w:t>
            </w:r>
          </w:p>
        </w:tc>
        <w:tc>
          <w:tcPr>
            <w:tcW w:w="2050" w:type="dxa"/>
            <w:gridSpan w:val="10"/>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3"/>
          <w:wAfter w:w="3134" w:type="dxa"/>
          <w:trHeight w:val="300"/>
        </w:trPr>
        <w:tc>
          <w:tcPr>
            <w:tcW w:w="1300"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 xml:space="preserve">Non-current </w:t>
            </w: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68"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8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60"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3"/>
          <w:wAfter w:w="642" w:type="dxa"/>
          <w:trHeight w:val="285"/>
        </w:trPr>
        <w:tc>
          <w:tcPr>
            <w:tcW w:w="5387"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Employee benefits provision</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049"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741" w:type="dxa"/>
            <w:gridSpan w:val="5"/>
            <w:tcBorders>
              <w:top w:val="nil"/>
              <w:left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70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3"/>
          <w:wAfter w:w="642" w:type="dxa"/>
          <w:trHeight w:val="300"/>
        </w:trPr>
        <w:tc>
          <w:tcPr>
            <w:tcW w:w="5387"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Long service leave</w:t>
            </w:r>
            <w:r w:rsidRPr="0009212F">
              <w:rPr>
                <w:color w:val="404040" w:themeColor="text1" w:themeTint="BF"/>
                <w:sz w:val="18"/>
                <w:szCs w:val="18"/>
                <w:vertAlign w:val="superscript"/>
                <w:lang w:val="en-AU"/>
              </w:rPr>
              <w:t>(b)</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108</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159</w:t>
            </w:r>
          </w:p>
        </w:tc>
        <w:tc>
          <w:tcPr>
            <w:tcW w:w="1049"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741" w:type="dxa"/>
            <w:gridSpan w:val="5"/>
            <w:tcBorders>
              <w:top w:val="nil"/>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231</w:t>
            </w:r>
          </w:p>
        </w:tc>
        <w:tc>
          <w:tcPr>
            <w:tcW w:w="70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182</w:t>
            </w:r>
          </w:p>
        </w:tc>
      </w:tr>
      <w:tr w:rsidR="0009212F" w:rsidRPr="0009212F" w:rsidTr="00B40057">
        <w:trPr>
          <w:gridAfter w:val="3"/>
          <w:wAfter w:w="642"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108</w:t>
            </w:r>
          </w:p>
        </w:tc>
        <w:tc>
          <w:tcPr>
            <w:tcW w:w="1368" w:type="dxa"/>
            <w:gridSpan w:val="8"/>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159</w:t>
            </w:r>
          </w:p>
        </w:tc>
        <w:tc>
          <w:tcPr>
            <w:tcW w:w="1049"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741" w:type="dxa"/>
            <w:gridSpan w:val="5"/>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231</w:t>
            </w:r>
          </w:p>
        </w:tc>
        <w:tc>
          <w:tcPr>
            <w:tcW w:w="704" w:type="dxa"/>
            <w:gridSpan w:val="4"/>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182</w:t>
            </w:r>
          </w:p>
        </w:tc>
      </w:tr>
      <w:tr w:rsidR="0009212F" w:rsidRPr="0009212F" w:rsidTr="00B40057">
        <w:trPr>
          <w:gridAfter w:val="3"/>
          <w:wAfter w:w="642"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49"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74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70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3"/>
          <w:wAfter w:w="642" w:type="dxa"/>
          <w:trHeight w:val="285"/>
        </w:trPr>
        <w:tc>
          <w:tcPr>
            <w:tcW w:w="5387"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Other provisions</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i/>
                <w:iCs/>
                <w:color w:val="404040" w:themeColor="text1" w:themeTint="BF"/>
                <w:sz w:val="18"/>
                <w:szCs w:val="18"/>
                <w:lang w:val="en-AU"/>
              </w:rPr>
            </w:pP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i/>
                <w:iCs/>
                <w:color w:val="404040" w:themeColor="text1" w:themeTint="BF"/>
                <w:sz w:val="18"/>
                <w:szCs w:val="18"/>
                <w:lang w:val="en-AU"/>
              </w:rPr>
            </w:pPr>
          </w:p>
        </w:tc>
        <w:tc>
          <w:tcPr>
            <w:tcW w:w="1049"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i/>
                <w:iCs/>
                <w:color w:val="404040" w:themeColor="text1" w:themeTint="BF"/>
                <w:sz w:val="18"/>
                <w:szCs w:val="18"/>
                <w:lang w:val="en-AU"/>
              </w:rPr>
            </w:pPr>
          </w:p>
        </w:tc>
        <w:tc>
          <w:tcPr>
            <w:tcW w:w="174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70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3"/>
          <w:wAfter w:w="642" w:type="dxa"/>
          <w:trHeight w:val="285"/>
        </w:trPr>
        <w:tc>
          <w:tcPr>
            <w:tcW w:w="5387"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Employment on-costs</w:t>
            </w:r>
            <w:r w:rsidRPr="0009212F">
              <w:rPr>
                <w:color w:val="404040" w:themeColor="text1" w:themeTint="BF"/>
                <w:sz w:val="18"/>
                <w:szCs w:val="18"/>
                <w:vertAlign w:val="superscript"/>
                <w:lang w:val="en-AU"/>
              </w:rPr>
              <w:t>(c)</w:t>
            </w:r>
            <w:r w:rsidRPr="0009212F">
              <w:rPr>
                <w:color w:val="404040" w:themeColor="text1" w:themeTint="BF"/>
                <w:sz w:val="18"/>
                <w:szCs w:val="18"/>
                <w:lang w:val="en-AU"/>
              </w:rPr>
              <w:t xml:space="preserve"> </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w:t>
            </w:r>
          </w:p>
        </w:tc>
        <w:tc>
          <w:tcPr>
            <w:tcW w:w="1049"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741"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w:t>
            </w:r>
          </w:p>
        </w:tc>
        <w:tc>
          <w:tcPr>
            <w:tcW w:w="704"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27</w:t>
            </w:r>
          </w:p>
        </w:tc>
      </w:tr>
      <w:tr w:rsidR="0009212F" w:rsidRPr="0009212F" w:rsidTr="00B40057">
        <w:trPr>
          <w:gridAfter w:val="3"/>
          <w:wAfter w:w="642"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w:t>
            </w:r>
          </w:p>
        </w:tc>
        <w:tc>
          <w:tcPr>
            <w:tcW w:w="1368" w:type="dxa"/>
            <w:gridSpan w:val="8"/>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w:t>
            </w:r>
          </w:p>
        </w:tc>
        <w:tc>
          <w:tcPr>
            <w:tcW w:w="1049"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741" w:type="dxa"/>
            <w:gridSpan w:val="5"/>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w:t>
            </w:r>
          </w:p>
        </w:tc>
        <w:tc>
          <w:tcPr>
            <w:tcW w:w="704" w:type="dxa"/>
            <w:gridSpan w:val="4"/>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27</w:t>
            </w:r>
          </w:p>
        </w:tc>
      </w:tr>
      <w:tr w:rsidR="0009212F" w:rsidRPr="0009212F" w:rsidTr="00B40057">
        <w:trPr>
          <w:gridAfter w:val="3"/>
          <w:wAfter w:w="642" w:type="dxa"/>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110</w:t>
            </w:r>
          </w:p>
        </w:tc>
        <w:tc>
          <w:tcPr>
            <w:tcW w:w="1368" w:type="dxa"/>
            <w:gridSpan w:val="8"/>
            <w:tcBorders>
              <w:top w:val="nil"/>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161</w:t>
            </w:r>
          </w:p>
        </w:tc>
        <w:tc>
          <w:tcPr>
            <w:tcW w:w="1049"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741" w:type="dxa"/>
            <w:gridSpan w:val="5"/>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234</w:t>
            </w:r>
          </w:p>
        </w:tc>
        <w:tc>
          <w:tcPr>
            <w:tcW w:w="704" w:type="dxa"/>
            <w:gridSpan w:val="4"/>
            <w:tcBorders>
              <w:top w:val="nil"/>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209</w:t>
            </w:r>
          </w:p>
        </w:tc>
      </w:tr>
      <w:tr w:rsidR="0009212F" w:rsidRPr="0009212F" w:rsidTr="00B40057">
        <w:trPr>
          <w:gridAfter w:val="15"/>
          <w:wAfter w:w="3504" w:type="dxa"/>
          <w:trHeight w:val="825"/>
        </w:trPr>
        <w:tc>
          <w:tcPr>
            <w:tcW w:w="9451" w:type="dxa"/>
            <w:gridSpan w:val="23"/>
            <w:tcBorders>
              <w:top w:val="nil"/>
              <w:left w:val="nil"/>
              <w:bottom w:val="nil"/>
              <w:right w:val="nil"/>
            </w:tcBorders>
            <w:shd w:val="clear" w:color="auto" w:fill="auto"/>
            <w:vAlign w:val="bottom"/>
            <w:hideMark/>
          </w:tcPr>
          <w:p w:rsidR="0009212F" w:rsidRPr="0009212F" w:rsidRDefault="0009212F" w:rsidP="00047F19">
            <w:pPr>
              <w:pStyle w:val="BodyCopy"/>
              <w:spacing w:before="40" w:after="40" w:line="160" w:lineRule="atLeast"/>
              <w:ind w:left="34" w:hanging="34"/>
              <w:rPr>
                <w:color w:val="404040" w:themeColor="text1" w:themeTint="BF"/>
                <w:sz w:val="18"/>
                <w:szCs w:val="18"/>
                <w:lang w:val="en-AU"/>
              </w:rPr>
            </w:pPr>
            <w:r w:rsidRPr="0009212F">
              <w:rPr>
                <w:color w:val="404040" w:themeColor="text1" w:themeTint="BF"/>
                <w:sz w:val="18"/>
                <w:szCs w:val="18"/>
                <w:lang w:val="en-AU"/>
              </w:rPr>
              <w:t>(a)  Annual leave liabilities have been classified as current as there is no unconditional right to defer settlement for at least 12 months after the end of the reporting period.  Assessments indicate that actual settlement of the liabilities is expected to occur as follows:</w:t>
            </w:r>
          </w:p>
        </w:tc>
        <w:tc>
          <w:tcPr>
            <w:tcW w:w="1614" w:type="dxa"/>
            <w:gridSpan w:val="10"/>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
          <w:wAfter w:w="418" w:type="dxa"/>
          <w:trHeight w:val="285"/>
        </w:trPr>
        <w:tc>
          <w:tcPr>
            <w:tcW w:w="750"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1191" w:type="dxa"/>
            <w:gridSpan w:val="10"/>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2013</w:t>
            </w:r>
          </w:p>
        </w:tc>
        <w:tc>
          <w:tcPr>
            <w:tcW w:w="61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2012</w:t>
            </w:r>
          </w:p>
        </w:tc>
      </w:tr>
      <w:tr w:rsidR="0009212F" w:rsidRPr="0009212F" w:rsidTr="00B40057">
        <w:trPr>
          <w:gridAfter w:val="1"/>
          <w:wAfter w:w="418"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191" w:type="dxa"/>
            <w:gridSpan w:val="10"/>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61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B40057">
        <w:trPr>
          <w:gridAfter w:val="1"/>
          <w:wAfter w:w="418" w:type="dxa"/>
          <w:trHeight w:val="285"/>
        </w:trPr>
        <w:tc>
          <w:tcPr>
            <w:tcW w:w="5387"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Within 12 months of the end of the reporting period </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252</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221</w:t>
            </w:r>
          </w:p>
        </w:tc>
        <w:tc>
          <w:tcPr>
            <w:tcW w:w="1191" w:type="dxa"/>
            <w:gridSpan w:val="10"/>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336</w:t>
            </w:r>
          </w:p>
        </w:tc>
        <w:tc>
          <w:tcPr>
            <w:tcW w:w="61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314</w:t>
            </w:r>
          </w:p>
        </w:tc>
      </w:tr>
      <w:tr w:rsidR="0009212F" w:rsidRPr="0009212F" w:rsidTr="00B40057">
        <w:trPr>
          <w:gridAfter w:val="1"/>
          <w:wAfter w:w="418" w:type="dxa"/>
          <w:trHeight w:val="285"/>
        </w:trPr>
        <w:tc>
          <w:tcPr>
            <w:tcW w:w="5387"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More than 12 months after the end of the reporting period</w:t>
            </w:r>
            <w:r w:rsidRPr="0009212F">
              <w:rPr>
                <w:color w:val="404040" w:themeColor="text1" w:themeTint="BF"/>
                <w:sz w:val="18"/>
                <w:szCs w:val="18"/>
                <w:vertAlign w:val="superscript"/>
                <w:lang w:val="en-AU"/>
              </w:rPr>
              <w:t xml:space="preserve"> </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20</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69</w:t>
            </w:r>
          </w:p>
        </w:tc>
        <w:tc>
          <w:tcPr>
            <w:tcW w:w="1191" w:type="dxa"/>
            <w:gridSpan w:val="10"/>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w:t>
            </w:r>
          </w:p>
        </w:tc>
        <w:tc>
          <w:tcPr>
            <w:tcW w:w="61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
          <w:wAfter w:w="418"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272</w:t>
            </w:r>
          </w:p>
        </w:tc>
        <w:tc>
          <w:tcPr>
            <w:tcW w:w="1368" w:type="dxa"/>
            <w:gridSpan w:val="8"/>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290</w:t>
            </w:r>
          </w:p>
        </w:tc>
        <w:tc>
          <w:tcPr>
            <w:tcW w:w="1191" w:type="dxa"/>
            <w:gridSpan w:val="10"/>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910" w:type="dxa"/>
            <w:gridSpan w:val="6"/>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336</w:t>
            </w:r>
          </w:p>
        </w:tc>
        <w:tc>
          <w:tcPr>
            <w:tcW w:w="617" w:type="dxa"/>
            <w:gridSpan w:val="4"/>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314</w:t>
            </w:r>
          </w:p>
        </w:tc>
      </w:tr>
      <w:tr w:rsidR="0009212F" w:rsidRPr="0009212F" w:rsidTr="00B40057">
        <w:trPr>
          <w:gridAfter w:val="13"/>
          <w:wAfter w:w="3134"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68"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8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60"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5"/>
          <w:wAfter w:w="3504" w:type="dxa"/>
          <w:trHeight w:val="795"/>
        </w:trPr>
        <w:tc>
          <w:tcPr>
            <w:tcW w:w="9451" w:type="dxa"/>
            <w:gridSpan w:val="23"/>
            <w:tcBorders>
              <w:top w:val="nil"/>
              <w:left w:val="nil"/>
              <w:bottom w:val="nil"/>
              <w:right w:val="nil"/>
            </w:tcBorders>
            <w:shd w:val="clear" w:color="auto" w:fill="auto"/>
            <w:vAlign w:val="bottom"/>
            <w:hideMark/>
          </w:tcPr>
          <w:p w:rsidR="0009212F" w:rsidRPr="0009212F" w:rsidRDefault="0009212F" w:rsidP="00047F19">
            <w:pPr>
              <w:pStyle w:val="BodyCopy"/>
              <w:spacing w:before="40" w:after="40" w:line="160" w:lineRule="atLeast"/>
              <w:ind w:left="34" w:hanging="34"/>
              <w:rPr>
                <w:color w:val="404040" w:themeColor="text1" w:themeTint="BF"/>
                <w:sz w:val="18"/>
                <w:szCs w:val="18"/>
                <w:lang w:val="en-AU"/>
              </w:rPr>
            </w:pPr>
            <w:r w:rsidRPr="0009212F">
              <w:rPr>
                <w:color w:val="404040" w:themeColor="text1" w:themeTint="BF"/>
                <w:sz w:val="18"/>
                <w:szCs w:val="18"/>
                <w:lang w:val="en-AU"/>
              </w:rPr>
              <w:t>(b)  Long service leave liabilities have been classified as current where there is no unconditional right to defer settlement for at least 12 months after the end of the reporting period.  Assessments indicate that actual settlement of the liabilities is expected to occur as follows:</w:t>
            </w:r>
          </w:p>
        </w:tc>
        <w:tc>
          <w:tcPr>
            <w:tcW w:w="1614" w:type="dxa"/>
            <w:gridSpan w:val="10"/>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trHeight w:val="164"/>
        </w:trPr>
        <w:tc>
          <w:tcPr>
            <w:tcW w:w="750"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4" w:type="dxa"/>
            <w:gridSpan w:val="11"/>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6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045"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1474" w:type="dxa"/>
            <w:gridSpan w:val="11"/>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2013</w:t>
            </w:r>
          </w:p>
        </w:tc>
        <w:tc>
          <w:tcPr>
            <w:tcW w:w="2045"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2012</w:t>
            </w:r>
          </w:p>
        </w:tc>
      </w:tr>
      <w:tr w:rsidR="0009212F" w:rsidRPr="0009212F" w:rsidTr="00B40057">
        <w:trPr>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474" w:type="dxa"/>
            <w:gridSpan w:val="11"/>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2045"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B40057">
        <w:trPr>
          <w:trHeight w:val="285"/>
        </w:trPr>
        <w:tc>
          <w:tcPr>
            <w:tcW w:w="5387"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Within 12 months of the end of the reporting period </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191</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132</w:t>
            </w:r>
          </w:p>
        </w:tc>
        <w:tc>
          <w:tcPr>
            <w:tcW w:w="1474" w:type="dxa"/>
            <w:gridSpan w:val="11"/>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6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208</w:t>
            </w:r>
          </w:p>
        </w:tc>
        <w:tc>
          <w:tcPr>
            <w:tcW w:w="2045"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175</w:t>
            </w:r>
          </w:p>
        </w:tc>
      </w:tr>
      <w:tr w:rsidR="0009212F" w:rsidRPr="0009212F" w:rsidTr="00B40057">
        <w:trPr>
          <w:trHeight w:val="285"/>
        </w:trPr>
        <w:tc>
          <w:tcPr>
            <w:tcW w:w="5387"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More than 12 months after the end of the reporting period </w:t>
            </w: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448</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530</w:t>
            </w:r>
          </w:p>
        </w:tc>
        <w:tc>
          <w:tcPr>
            <w:tcW w:w="1474" w:type="dxa"/>
            <w:gridSpan w:val="11"/>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617"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549</w:t>
            </w:r>
          </w:p>
        </w:tc>
        <w:tc>
          <w:tcPr>
            <w:tcW w:w="2045"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432</w:t>
            </w:r>
          </w:p>
        </w:tc>
      </w:tr>
      <w:tr w:rsidR="0009212F" w:rsidRPr="0009212F" w:rsidTr="00B40057">
        <w:trPr>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10"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639</w:t>
            </w:r>
          </w:p>
        </w:tc>
        <w:tc>
          <w:tcPr>
            <w:tcW w:w="1368" w:type="dxa"/>
            <w:gridSpan w:val="8"/>
            <w:tcBorders>
              <w:top w:val="single" w:sz="4" w:space="0" w:color="auto"/>
              <w:left w:val="nil"/>
              <w:bottom w:val="single" w:sz="4"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662</w:t>
            </w:r>
          </w:p>
        </w:tc>
        <w:tc>
          <w:tcPr>
            <w:tcW w:w="1474" w:type="dxa"/>
            <w:gridSpan w:val="11"/>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617" w:type="dxa"/>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757</w:t>
            </w:r>
          </w:p>
        </w:tc>
        <w:tc>
          <w:tcPr>
            <w:tcW w:w="2045" w:type="dxa"/>
            <w:gridSpan w:val="9"/>
            <w:tcBorders>
              <w:top w:val="single" w:sz="4" w:space="0" w:color="auto"/>
              <w:left w:val="nil"/>
              <w:bottom w:val="single" w:sz="4"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607</w:t>
            </w:r>
          </w:p>
        </w:tc>
      </w:tr>
      <w:tr w:rsidR="0009212F" w:rsidRPr="0009212F" w:rsidTr="00B40057">
        <w:trPr>
          <w:gridAfter w:val="15"/>
          <w:wAfter w:w="3504" w:type="dxa"/>
          <w:trHeight w:val="1125"/>
        </w:trPr>
        <w:tc>
          <w:tcPr>
            <w:tcW w:w="11065" w:type="dxa"/>
            <w:gridSpan w:val="33"/>
            <w:tcBorders>
              <w:top w:val="nil"/>
              <w:left w:val="nil"/>
              <w:bottom w:val="nil"/>
              <w:right w:val="nil"/>
            </w:tcBorders>
            <w:shd w:val="clear" w:color="auto" w:fill="auto"/>
            <w:vAlign w:val="bottom"/>
            <w:hideMark/>
          </w:tcPr>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(c)  The settlement of annual and long service leave liabilities gives rise to the payment of employment </w:t>
            </w:r>
            <w:r w:rsidRPr="0009212F">
              <w:rPr>
                <w:color w:val="404040" w:themeColor="text1" w:themeTint="BF"/>
                <w:sz w:val="18"/>
                <w:szCs w:val="18"/>
                <w:lang w:val="en-AU"/>
              </w:rPr>
              <w:br/>
              <w:t xml:space="preserve">on-costs including worker's compensation insurance.  The provision is the present value of expected future payments.  </w:t>
            </w:r>
            <w:r w:rsidRPr="0009212F">
              <w:rPr>
                <w:color w:val="404040" w:themeColor="text1" w:themeTint="BF"/>
                <w:sz w:val="18"/>
                <w:szCs w:val="18"/>
                <w:lang w:val="en-AU"/>
              </w:rPr>
              <w:br/>
            </w:r>
            <w:r w:rsidRPr="0009212F">
              <w:rPr>
                <w:color w:val="404040" w:themeColor="text1" w:themeTint="BF"/>
                <w:sz w:val="18"/>
                <w:szCs w:val="18"/>
                <w:lang w:val="en-AU"/>
              </w:rPr>
              <w:br/>
              <w:t>The associated expense, apart from unwinding of the discount (finance cost), is disclosed in note 11 'Other expenses'.</w:t>
            </w:r>
          </w:p>
        </w:tc>
      </w:tr>
      <w:tr w:rsidR="0009212F" w:rsidRPr="0009212F" w:rsidTr="00B40057">
        <w:trPr>
          <w:gridAfter w:val="13"/>
          <w:wAfter w:w="3134"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08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68"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88"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60"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5"/>
          <w:wAfter w:w="3504" w:type="dxa"/>
          <w:trHeight w:val="1140"/>
        </w:trPr>
        <w:tc>
          <w:tcPr>
            <w:tcW w:w="11065" w:type="dxa"/>
            <w:gridSpan w:val="33"/>
            <w:tcBorders>
              <w:top w:val="nil"/>
              <w:left w:val="nil"/>
              <w:bottom w:val="nil"/>
              <w:right w:val="nil"/>
            </w:tcBorders>
            <w:shd w:val="clear" w:color="auto" w:fill="auto"/>
            <w:hideMark/>
          </w:tcPr>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(d)  The settlement of annual and long service leave liabilities gives rise to the payment of employment on-costs including worker's compensation insura</w:t>
            </w:r>
            <w:r w:rsidR="004B6B77">
              <w:rPr>
                <w:color w:val="404040" w:themeColor="text1" w:themeTint="BF"/>
                <w:sz w:val="18"/>
                <w:szCs w:val="18"/>
                <w:lang w:val="en-AU"/>
              </w:rPr>
              <w:t xml:space="preserve">nce. </w:t>
            </w:r>
            <w:r w:rsidRPr="0009212F">
              <w:rPr>
                <w:color w:val="404040" w:themeColor="text1" w:themeTint="BF"/>
                <w:sz w:val="18"/>
                <w:szCs w:val="18"/>
                <w:lang w:val="en-AU"/>
              </w:rPr>
              <w:t xml:space="preserve">The provision is the present value of expected future payments.  </w:t>
            </w:r>
            <w:r w:rsidRPr="0009212F">
              <w:rPr>
                <w:color w:val="404040" w:themeColor="text1" w:themeTint="BF"/>
                <w:sz w:val="18"/>
                <w:szCs w:val="18"/>
                <w:lang w:val="en-AU"/>
              </w:rPr>
              <w:br/>
            </w:r>
            <w:r w:rsidRPr="0009212F">
              <w:rPr>
                <w:color w:val="404040" w:themeColor="text1" w:themeTint="BF"/>
                <w:sz w:val="18"/>
                <w:szCs w:val="18"/>
                <w:lang w:val="en-AU"/>
              </w:rPr>
              <w:br/>
              <w:t>The associated expense, apart from unwinding of the discount (finance cost), is disclosed in note 11 'Other expenses'.</w:t>
            </w:r>
          </w:p>
        </w:tc>
      </w:tr>
      <w:tr w:rsidR="00B40057" w:rsidRPr="0009212F" w:rsidTr="00B40057">
        <w:trPr>
          <w:gridAfter w:val="17"/>
          <w:wAfter w:w="3796" w:type="dxa"/>
          <w:trHeight w:val="285"/>
        </w:trPr>
        <w:tc>
          <w:tcPr>
            <w:tcW w:w="10773" w:type="dxa"/>
            <w:gridSpan w:val="31"/>
            <w:tcBorders>
              <w:top w:val="nil"/>
              <w:left w:val="nil"/>
              <w:bottom w:val="nil"/>
              <w:right w:val="nil"/>
            </w:tcBorders>
            <w:shd w:val="clear" w:color="auto" w:fill="auto"/>
            <w:noWrap/>
            <w:hideMark/>
          </w:tcPr>
          <w:p w:rsidR="00B40057" w:rsidRDefault="00B40057" w:rsidP="00B40057">
            <w:pPr>
              <w:pStyle w:val="BodyCopy"/>
              <w:tabs>
                <w:tab w:val="left" w:pos="709"/>
              </w:tabs>
              <w:spacing w:before="40" w:after="40" w:line="160" w:lineRule="atLeast"/>
              <w:rPr>
                <w:b/>
                <w:bCs/>
                <w:color w:val="404040" w:themeColor="text1" w:themeTint="BF"/>
                <w:sz w:val="18"/>
                <w:szCs w:val="18"/>
                <w:lang w:val="en-AU"/>
              </w:rPr>
            </w:pPr>
          </w:p>
          <w:p w:rsidR="00B40057" w:rsidRDefault="00B40057" w:rsidP="00B4005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p w:rsidR="00B40057" w:rsidRPr="0009212F" w:rsidRDefault="00B40057"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b/>
                <w:bCs/>
                <w:color w:val="404040" w:themeColor="text1" w:themeTint="BF"/>
                <w:sz w:val="18"/>
                <w:szCs w:val="18"/>
                <w:lang w:val="en-AU"/>
              </w:rPr>
              <w:t>Movements in other provisions</w:t>
            </w:r>
          </w:p>
        </w:tc>
      </w:tr>
      <w:tr w:rsidR="0009212F" w:rsidRPr="0009212F" w:rsidTr="00B40057">
        <w:trPr>
          <w:gridAfter w:val="4"/>
          <w:wAfter w:w="799" w:type="dxa"/>
          <w:trHeight w:val="285"/>
        </w:trPr>
        <w:tc>
          <w:tcPr>
            <w:tcW w:w="750"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79"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2013</w:t>
            </w: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2012</w:t>
            </w:r>
          </w:p>
        </w:tc>
      </w:tr>
      <w:tr w:rsidR="0009212F" w:rsidRPr="0009212F" w:rsidTr="00B40057">
        <w:trPr>
          <w:gridAfter w:val="4"/>
          <w:wAfter w:w="799" w:type="dxa"/>
          <w:trHeight w:val="285"/>
        </w:trPr>
        <w:tc>
          <w:tcPr>
            <w:tcW w:w="750"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79"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B40057">
        <w:trPr>
          <w:gridAfter w:val="4"/>
          <w:wAfter w:w="799" w:type="dxa"/>
          <w:trHeight w:val="555"/>
        </w:trPr>
        <w:tc>
          <w:tcPr>
            <w:tcW w:w="7807" w:type="dxa"/>
            <w:gridSpan w:val="15"/>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Movements in each class of provisions during the period, other than employee benefits, are set out below. </w:t>
            </w:r>
          </w:p>
        </w:tc>
        <w:tc>
          <w:tcPr>
            <w:tcW w:w="1268" w:type="dxa"/>
            <w:gridSpan w:val="5"/>
            <w:tcBorders>
              <w:top w:val="nil"/>
              <w:left w:val="nil"/>
              <w:bottom w:val="nil"/>
              <w:right w:val="nil"/>
            </w:tcBorders>
            <w:shd w:val="clear" w:color="auto" w:fill="auto"/>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68" w:type="dxa"/>
            <w:gridSpan w:val="8"/>
            <w:tcBorders>
              <w:top w:val="nil"/>
              <w:left w:val="nil"/>
              <w:bottom w:val="nil"/>
              <w:right w:val="nil"/>
            </w:tcBorders>
            <w:shd w:val="clear" w:color="auto" w:fill="auto"/>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81" w:type="dxa"/>
            <w:gridSpan w:val="9"/>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910" w:type="dxa"/>
            <w:gridSpan w:val="6"/>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4"/>
          <w:wAfter w:w="799"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79"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4"/>
          <w:wAfter w:w="799" w:type="dxa"/>
          <w:trHeight w:val="285"/>
        </w:trPr>
        <w:tc>
          <w:tcPr>
            <w:tcW w:w="6379" w:type="dxa"/>
            <w:gridSpan w:val="9"/>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Employment on-cost provision</w:t>
            </w: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4"/>
          <w:wAfter w:w="799" w:type="dxa"/>
          <w:trHeight w:val="285"/>
        </w:trPr>
        <w:tc>
          <w:tcPr>
            <w:tcW w:w="6379"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Carrying amount at start of period</w:t>
            </w: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13</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14</w:t>
            </w: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267</w:t>
            </w: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191</w:t>
            </w:r>
          </w:p>
        </w:tc>
      </w:tr>
      <w:tr w:rsidR="0009212F" w:rsidRPr="0009212F" w:rsidTr="00B40057">
        <w:trPr>
          <w:gridAfter w:val="4"/>
          <w:wAfter w:w="799" w:type="dxa"/>
          <w:trHeight w:val="285"/>
        </w:trPr>
        <w:tc>
          <w:tcPr>
            <w:tcW w:w="6379"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Additional/(reversal of) provisions recognised</w:t>
            </w: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w:t>
            </w: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15</w:t>
            </w: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76</w:t>
            </w:r>
          </w:p>
        </w:tc>
      </w:tr>
      <w:tr w:rsidR="0009212F" w:rsidRPr="0009212F" w:rsidTr="00B40057">
        <w:trPr>
          <w:gridAfter w:val="4"/>
          <w:wAfter w:w="799" w:type="dxa"/>
          <w:trHeight w:val="300"/>
        </w:trPr>
        <w:tc>
          <w:tcPr>
            <w:tcW w:w="6379"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Carrying amount at end of period</w:t>
            </w: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68" w:type="dxa"/>
            <w:gridSpan w:val="5"/>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13</w:t>
            </w:r>
          </w:p>
        </w:tc>
        <w:tc>
          <w:tcPr>
            <w:tcW w:w="1368" w:type="dxa"/>
            <w:gridSpan w:val="8"/>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13</w:t>
            </w: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910" w:type="dxa"/>
            <w:gridSpan w:val="6"/>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282</w:t>
            </w:r>
          </w:p>
        </w:tc>
        <w:tc>
          <w:tcPr>
            <w:tcW w:w="236"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267</w:t>
            </w:r>
          </w:p>
        </w:tc>
      </w:tr>
      <w:tr w:rsidR="0009212F" w:rsidRPr="0009212F" w:rsidTr="00B40057">
        <w:trPr>
          <w:gridAfter w:val="4"/>
          <w:wAfter w:w="799" w:type="dxa"/>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79"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4"/>
          <w:wAfter w:w="799" w:type="dxa"/>
          <w:trHeight w:val="300"/>
        </w:trPr>
        <w:tc>
          <w:tcPr>
            <w:tcW w:w="750" w:type="dxa"/>
            <w:tcBorders>
              <w:top w:val="nil"/>
              <w:left w:val="nil"/>
              <w:bottom w:val="nil"/>
              <w:right w:val="nil"/>
            </w:tcBorders>
            <w:shd w:val="clear" w:color="auto" w:fill="auto"/>
            <w:noWrap/>
            <w:vAlign w:val="bottom"/>
            <w:hideMark/>
          </w:tcPr>
          <w:p w:rsidR="0009212F" w:rsidRPr="0009212F" w:rsidRDefault="0009212F" w:rsidP="007D38A8">
            <w:pPr>
              <w:pStyle w:val="BodyCopy"/>
              <w:tabs>
                <w:tab w:val="left" w:pos="709"/>
              </w:tabs>
              <w:spacing w:before="40" w:after="40" w:line="160" w:lineRule="atLeast"/>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22.</w:t>
            </w:r>
          </w:p>
        </w:tc>
        <w:tc>
          <w:tcPr>
            <w:tcW w:w="5079"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Other liabilities</w:t>
            </w: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i/>
                <w:iCs/>
                <w:color w:val="404040" w:themeColor="text1" w:themeTint="BF"/>
                <w:sz w:val="18"/>
                <w:szCs w:val="18"/>
                <w:lang w:val="en-AU"/>
              </w:rPr>
            </w:pP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4"/>
          <w:wAfter w:w="799" w:type="dxa"/>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079"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7D38A8" w:rsidTr="00B40057">
        <w:trPr>
          <w:gridAfter w:val="4"/>
          <w:wAfter w:w="799" w:type="dxa"/>
          <w:trHeight w:val="285"/>
        </w:trPr>
        <w:tc>
          <w:tcPr>
            <w:tcW w:w="750" w:type="dxa"/>
            <w:tcBorders>
              <w:top w:val="nil"/>
              <w:left w:val="nil"/>
              <w:bottom w:val="nil"/>
              <w:right w:val="nil"/>
            </w:tcBorders>
            <w:shd w:val="clear" w:color="auto" w:fill="auto"/>
            <w:noWrap/>
            <w:vAlign w:val="bottom"/>
            <w:hideMark/>
          </w:tcPr>
          <w:p w:rsidR="0009212F" w:rsidRPr="007D38A8"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7D38A8" w:rsidRDefault="0009212F" w:rsidP="0009212F">
            <w:pPr>
              <w:pStyle w:val="BodyCopy"/>
              <w:tabs>
                <w:tab w:val="left" w:pos="709"/>
              </w:tabs>
              <w:spacing w:before="40" w:after="40" w:line="160" w:lineRule="atLeast"/>
              <w:ind w:left="1418" w:hanging="1418"/>
              <w:rPr>
                <w:bCs/>
                <w:color w:val="404040" w:themeColor="text1" w:themeTint="BF"/>
                <w:sz w:val="18"/>
                <w:szCs w:val="18"/>
                <w:lang w:val="en-AU"/>
              </w:rPr>
            </w:pPr>
          </w:p>
        </w:tc>
        <w:tc>
          <w:tcPr>
            <w:tcW w:w="5079" w:type="dxa"/>
            <w:gridSpan w:val="6"/>
            <w:tcBorders>
              <w:top w:val="nil"/>
              <w:left w:val="nil"/>
              <w:bottom w:val="nil"/>
              <w:right w:val="nil"/>
            </w:tcBorders>
            <w:shd w:val="clear" w:color="auto" w:fill="auto"/>
            <w:noWrap/>
            <w:vAlign w:val="bottom"/>
            <w:hideMark/>
          </w:tcPr>
          <w:p w:rsidR="0009212F" w:rsidRPr="007D38A8" w:rsidRDefault="0009212F" w:rsidP="0009212F">
            <w:pPr>
              <w:pStyle w:val="BodyCopy"/>
              <w:tabs>
                <w:tab w:val="left" w:pos="709"/>
              </w:tabs>
              <w:spacing w:before="40" w:after="40" w:line="160" w:lineRule="atLeast"/>
              <w:ind w:left="1418" w:hanging="1418"/>
              <w:rPr>
                <w:bCs/>
                <w:color w:val="404040" w:themeColor="text1" w:themeTint="BF"/>
                <w:sz w:val="18"/>
                <w:szCs w:val="18"/>
                <w:lang w:val="en-AU"/>
              </w:rPr>
            </w:pPr>
          </w:p>
        </w:tc>
        <w:tc>
          <w:tcPr>
            <w:tcW w:w="1428" w:type="dxa"/>
            <w:gridSpan w:val="6"/>
            <w:tcBorders>
              <w:top w:val="nil"/>
              <w:left w:val="nil"/>
              <w:bottom w:val="nil"/>
              <w:right w:val="nil"/>
            </w:tcBorders>
            <w:shd w:val="clear" w:color="auto" w:fill="auto"/>
            <w:noWrap/>
            <w:vAlign w:val="bottom"/>
            <w:hideMark/>
          </w:tcPr>
          <w:p w:rsidR="0009212F" w:rsidRPr="007D38A8" w:rsidRDefault="0009212F" w:rsidP="0009212F">
            <w:pPr>
              <w:pStyle w:val="BodyCopy"/>
              <w:tabs>
                <w:tab w:val="left" w:pos="709"/>
              </w:tabs>
              <w:spacing w:before="40" w:after="40" w:line="160" w:lineRule="atLeast"/>
              <w:ind w:left="1418" w:hanging="1418"/>
              <w:rPr>
                <w:bCs/>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7D38A8" w:rsidRDefault="0009212F" w:rsidP="004B6B77">
            <w:pPr>
              <w:pStyle w:val="BodyCopy"/>
              <w:tabs>
                <w:tab w:val="left" w:pos="709"/>
              </w:tabs>
              <w:spacing w:before="40" w:after="40" w:line="160" w:lineRule="atLeast"/>
              <w:ind w:left="1418" w:hanging="1418"/>
              <w:jc w:val="right"/>
              <w:rPr>
                <w:bCs/>
                <w:color w:val="404040" w:themeColor="text1" w:themeTint="BF"/>
                <w:sz w:val="18"/>
                <w:szCs w:val="18"/>
                <w:lang w:val="en-AU"/>
              </w:rPr>
            </w:pPr>
            <w:r w:rsidRPr="007D38A8">
              <w:rPr>
                <w:bCs/>
                <w:color w:val="404040" w:themeColor="text1" w:themeTint="BF"/>
                <w:sz w:val="18"/>
                <w:szCs w:val="18"/>
                <w:lang w:val="en-AU"/>
              </w:rPr>
              <w:t>$000</w:t>
            </w:r>
          </w:p>
        </w:tc>
        <w:tc>
          <w:tcPr>
            <w:tcW w:w="1368" w:type="dxa"/>
            <w:gridSpan w:val="8"/>
            <w:tcBorders>
              <w:top w:val="nil"/>
              <w:left w:val="nil"/>
              <w:bottom w:val="nil"/>
              <w:right w:val="nil"/>
            </w:tcBorders>
            <w:shd w:val="clear" w:color="auto" w:fill="auto"/>
            <w:noWrap/>
            <w:vAlign w:val="bottom"/>
            <w:hideMark/>
          </w:tcPr>
          <w:p w:rsidR="0009212F" w:rsidRPr="007D38A8" w:rsidRDefault="0009212F" w:rsidP="004B6B77">
            <w:pPr>
              <w:pStyle w:val="BodyCopy"/>
              <w:tabs>
                <w:tab w:val="left" w:pos="709"/>
              </w:tabs>
              <w:spacing w:before="40" w:after="40" w:line="160" w:lineRule="atLeast"/>
              <w:ind w:left="1418" w:hanging="1418"/>
              <w:jc w:val="right"/>
              <w:rPr>
                <w:bCs/>
                <w:color w:val="404040" w:themeColor="text1" w:themeTint="BF"/>
                <w:sz w:val="18"/>
                <w:szCs w:val="18"/>
                <w:lang w:val="en-AU"/>
              </w:rPr>
            </w:pPr>
            <w:r w:rsidRPr="007D38A8">
              <w:rPr>
                <w:bCs/>
                <w:color w:val="404040" w:themeColor="text1" w:themeTint="BF"/>
                <w:sz w:val="18"/>
                <w:szCs w:val="18"/>
                <w:lang w:val="en-AU"/>
              </w:rPr>
              <w:t>$000</w:t>
            </w:r>
          </w:p>
        </w:tc>
        <w:tc>
          <w:tcPr>
            <w:tcW w:w="1181" w:type="dxa"/>
            <w:gridSpan w:val="9"/>
            <w:tcBorders>
              <w:top w:val="nil"/>
              <w:left w:val="nil"/>
              <w:bottom w:val="nil"/>
              <w:right w:val="nil"/>
            </w:tcBorders>
            <w:shd w:val="clear" w:color="auto" w:fill="auto"/>
            <w:noWrap/>
            <w:vAlign w:val="bottom"/>
            <w:hideMark/>
          </w:tcPr>
          <w:p w:rsidR="0009212F" w:rsidRPr="007D38A8" w:rsidRDefault="0009212F" w:rsidP="0009212F">
            <w:pPr>
              <w:pStyle w:val="BodyCopy"/>
              <w:tabs>
                <w:tab w:val="left" w:pos="709"/>
              </w:tabs>
              <w:spacing w:before="40" w:after="40" w:line="160" w:lineRule="atLeast"/>
              <w:ind w:left="1418" w:hanging="1418"/>
              <w:rPr>
                <w:bCs/>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7D38A8"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7D38A8"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4"/>
          <w:wAfter w:w="799"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079"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4"/>
          <w:wAfter w:w="799" w:type="dxa"/>
          <w:trHeight w:val="285"/>
        </w:trPr>
        <w:tc>
          <w:tcPr>
            <w:tcW w:w="6379"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Current liabilities</w:t>
            </w: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4"/>
          <w:wAfter w:w="799" w:type="dxa"/>
          <w:trHeight w:val="285"/>
        </w:trPr>
        <w:tc>
          <w:tcPr>
            <w:tcW w:w="6379"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Unclaimed cheque - stale cheques</w:t>
            </w: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268" w:type="dxa"/>
            <w:gridSpan w:val="5"/>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w:t>
            </w:r>
          </w:p>
        </w:tc>
        <w:tc>
          <w:tcPr>
            <w:tcW w:w="1368" w:type="dxa"/>
            <w:gridSpan w:val="8"/>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4"/>
          <w:wAfter w:w="799" w:type="dxa"/>
          <w:trHeight w:val="300"/>
        </w:trPr>
        <w:tc>
          <w:tcPr>
            <w:tcW w:w="6379"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current</w:t>
            </w:r>
          </w:p>
        </w:tc>
        <w:tc>
          <w:tcPr>
            <w:tcW w:w="142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68" w:type="dxa"/>
            <w:gridSpan w:val="5"/>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5</w:t>
            </w:r>
          </w:p>
        </w:tc>
        <w:tc>
          <w:tcPr>
            <w:tcW w:w="1368" w:type="dxa"/>
            <w:gridSpan w:val="8"/>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w:t>
            </w:r>
          </w:p>
        </w:tc>
        <w:tc>
          <w:tcPr>
            <w:tcW w:w="1181"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910"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22"/>
          <w:wAfter w:w="4356" w:type="dxa"/>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23.</w:t>
            </w:r>
          </w:p>
        </w:tc>
        <w:tc>
          <w:tcPr>
            <w:tcW w:w="4229"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Equity</w:t>
            </w:r>
          </w:p>
        </w:tc>
        <w:tc>
          <w:tcPr>
            <w:tcW w:w="1636" w:type="dxa"/>
            <w:gridSpan w:val="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420"/>
            </w:tblGrid>
            <w:tr w:rsidR="0009212F" w:rsidRPr="0009212F" w:rsidTr="0009212F">
              <w:trPr>
                <w:trHeight w:val="300"/>
                <w:tblCellSpacing w:w="0" w:type="dxa"/>
              </w:trPr>
              <w:tc>
                <w:tcPr>
                  <w:tcW w:w="14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noProof/>
                      <w:color w:val="404040" w:themeColor="text1" w:themeTint="BF"/>
                      <w:sz w:val="18"/>
                      <w:szCs w:val="18"/>
                      <w:lang w:val="en-AU" w:eastAsia="en-AU"/>
                    </w:rPr>
                    <w:drawing>
                      <wp:anchor distT="0" distB="0" distL="114300" distR="114300" simplePos="0" relativeHeight="251659264" behindDoc="0" locked="0" layoutInCell="1" allowOverlap="1" wp14:anchorId="04F8635B" wp14:editId="480855DA">
                        <wp:simplePos x="0" y="0"/>
                        <wp:positionH relativeFrom="column">
                          <wp:posOffset>800100</wp:posOffset>
                        </wp:positionH>
                        <wp:positionV relativeFrom="paragraph">
                          <wp:posOffset>180975</wp:posOffset>
                        </wp:positionV>
                        <wp:extent cx="209550" cy="9525"/>
                        <wp:effectExtent l="0" t="0" r="0" b="0"/>
                        <wp:wrapNone/>
                        <wp:docPr id="16" name="Tex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9525"/>
                                </a:xfrm>
                                <a:prstGeom prst="rect">
                                  <a:avLst/>
                                </a:prstGeom>
                                <a:noFill/>
                              </pic:spPr>
                            </pic:pic>
                          </a:graphicData>
                        </a:graphic>
                        <wp14:sizeRelH relativeFrom="page">
                          <wp14:pctWidth>0</wp14:pctWidth>
                        </wp14:sizeRelH>
                        <wp14:sizeRelV relativeFrom="page">
                          <wp14:pctHeight>0</wp14:pctHeight>
                        </wp14:sizeRelV>
                      </wp:anchor>
                    </w:drawing>
                  </w:r>
                  <w:r w:rsidRPr="0009212F">
                    <w:rPr>
                      <w:noProof/>
                      <w:color w:val="404040" w:themeColor="text1" w:themeTint="BF"/>
                      <w:sz w:val="18"/>
                      <w:szCs w:val="18"/>
                      <w:lang w:val="en-AU" w:eastAsia="en-AU"/>
                    </w:rPr>
                    <w:drawing>
                      <wp:anchor distT="0" distB="0" distL="114300" distR="114300" simplePos="0" relativeHeight="251660288" behindDoc="0" locked="0" layoutInCell="1" allowOverlap="1" wp14:anchorId="02D26417" wp14:editId="5C567C4D">
                        <wp:simplePos x="0" y="0"/>
                        <wp:positionH relativeFrom="column">
                          <wp:posOffset>800100</wp:posOffset>
                        </wp:positionH>
                        <wp:positionV relativeFrom="paragraph">
                          <wp:posOffset>180975</wp:posOffset>
                        </wp:positionV>
                        <wp:extent cx="209550" cy="9525"/>
                        <wp:effectExtent l="0" t="0" r="0" b="0"/>
                        <wp:wrapNone/>
                        <wp:docPr id="15" name="Tex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xt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9525"/>
                                </a:xfrm>
                                <a:prstGeom prst="rect">
                                  <a:avLst/>
                                </a:prstGeom>
                                <a:noFill/>
                              </pic:spPr>
                            </pic:pic>
                          </a:graphicData>
                        </a:graphic>
                        <wp14:sizeRelH relativeFrom="page">
                          <wp14:pctWidth>0</wp14:pctWidth>
                        </wp14:sizeRelH>
                        <wp14:sizeRelV relativeFrom="page">
                          <wp14:pctHeight>0</wp14:pctHeight>
                        </wp14:sizeRelV>
                      </wp:anchor>
                    </w:drawing>
                  </w:r>
                  <w:r w:rsidRPr="0009212F">
                    <w:rPr>
                      <w:noProof/>
                      <w:color w:val="404040" w:themeColor="text1" w:themeTint="BF"/>
                      <w:sz w:val="18"/>
                      <w:szCs w:val="18"/>
                      <w:lang w:val="en-AU" w:eastAsia="en-AU"/>
                    </w:rPr>
                    <w:drawing>
                      <wp:anchor distT="0" distB="0" distL="114300" distR="114300" simplePos="0" relativeHeight="251661312" behindDoc="0" locked="0" layoutInCell="1" allowOverlap="1" wp14:anchorId="7CEB8DC8" wp14:editId="73AB3381">
                        <wp:simplePos x="0" y="0"/>
                        <wp:positionH relativeFrom="column">
                          <wp:posOffset>800100</wp:posOffset>
                        </wp:positionH>
                        <wp:positionV relativeFrom="paragraph">
                          <wp:posOffset>180975</wp:posOffset>
                        </wp:positionV>
                        <wp:extent cx="209550" cy="9525"/>
                        <wp:effectExtent l="0" t="0" r="0" b="0"/>
                        <wp:wrapNone/>
                        <wp:docPr id="1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9525"/>
                                </a:xfrm>
                                <a:prstGeom prst="rect">
                                  <a:avLst/>
                                </a:prstGeom>
                                <a:noFill/>
                              </pic:spPr>
                            </pic:pic>
                          </a:graphicData>
                        </a:graphic>
                        <wp14:sizeRelH relativeFrom="page">
                          <wp14:pctWidth>0</wp14:pctWidth>
                        </wp14:sizeRelH>
                        <wp14:sizeRelV relativeFrom="page">
                          <wp14:pctHeight>0</wp14:pctHeight>
                        </wp14:sizeRelV>
                      </wp:anchor>
                    </w:drawing>
                  </w:r>
                  <w:r w:rsidRPr="0009212F">
                    <w:rPr>
                      <w:noProof/>
                      <w:color w:val="404040" w:themeColor="text1" w:themeTint="BF"/>
                      <w:sz w:val="18"/>
                      <w:szCs w:val="18"/>
                      <w:lang w:val="en-AU" w:eastAsia="en-AU"/>
                    </w:rPr>
                    <w:drawing>
                      <wp:anchor distT="0" distB="0" distL="114300" distR="114300" simplePos="0" relativeHeight="251662336" behindDoc="0" locked="0" layoutInCell="1" allowOverlap="1" wp14:anchorId="09E3D3D4" wp14:editId="04421827">
                        <wp:simplePos x="0" y="0"/>
                        <wp:positionH relativeFrom="column">
                          <wp:posOffset>800100</wp:posOffset>
                        </wp:positionH>
                        <wp:positionV relativeFrom="paragraph">
                          <wp:posOffset>180975</wp:posOffset>
                        </wp:positionV>
                        <wp:extent cx="209550" cy="9525"/>
                        <wp:effectExtent l="0" t="0" r="0" b="0"/>
                        <wp:wrapNone/>
                        <wp:docPr id="1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 cy="9525"/>
                                </a:xfrm>
                                <a:prstGeom prst="rect">
                                  <a:avLst/>
                                </a:prstGeom>
                                <a:noFill/>
                              </pic:spPr>
                            </pic:pic>
                          </a:graphicData>
                        </a:graphic>
                        <wp14:sizeRelH relativeFrom="page">
                          <wp14:pctWidth>0</wp14:pctWidth>
                        </wp14:sizeRelH>
                        <wp14:sizeRelV relativeFrom="page">
                          <wp14:pctHeight>0</wp14:pctHeight>
                        </wp14:sizeRelV>
                      </wp:anchor>
                    </w:drawing>
                  </w: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376"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3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B40057">
        <w:trPr>
          <w:gridAfter w:val="22"/>
          <w:wAfter w:w="4356" w:type="dxa"/>
          <w:trHeight w:val="585"/>
        </w:trPr>
        <w:tc>
          <w:tcPr>
            <w:tcW w:w="9817" w:type="dxa"/>
            <w:gridSpan w:val="24"/>
            <w:tcBorders>
              <w:top w:val="nil"/>
              <w:left w:val="nil"/>
              <w:bottom w:val="nil"/>
              <w:right w:val="nil"/>
            </w:tcBorders>
            <w:shd w:val="clear" w:color="auto" w:fill="auto"/>
            <w:vAlign w:val="bottom"/>
            <w:hideMark/>
          </w:tcPr>
          <w:p w:rsidR="0009212F" w:rsidRPr="0009212F" w:rsidRDefault="0009212F" w:rsidP="00047F19">
            <w:pPr>
              <w:pStyle w:val="BodyCopy"/>
              <w:tabs>
                <w:tab w:val="left" w:pos="709"/>
              </w:tabs>
              <w:spacing w:before="40" w:after="40" w:line="160" w:lineRule="atLeast"/>
              <w:ind w:left="34" w:hanging="34"/>
              <w:rPr>
                <w:color w:val="404040" w:themeColor="text1" w:themeTint="BF"/>
                <w:sz w:val="18"/>
                <w:szCs w:val="18"/>
                <w:lang w:val="en-AU"/>
              </w:rPr>
            </w:pPr>
            <w:r w:rsidRPr="0009212F">
              <w:rPr>
                <w:color w:val="404040" w:themeColor="text1" w:themeTint="BF"/>
                <w:sz w:val="18"/>
                <w:szCs w:val="18"/>
                <w:lang w:val="en-AU"/>
              </w:rPr>
              <w:t xml:space="preserve">The Western Australian Government holds the equity interest in the Commission on behalf of the community. Equity represents the residual interest in the net assets of the Commission.  </w:t>
            </w:r>
          </w:p>
        </w:tc>
        <w:tc>
          <w:tcPr>
            <w:tcW w:w="396" w:type="dxa"/>
            <w:gridSpan w:val="2"/>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22"/>
          <w:wAfter w:w="4356"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4229" w:type="dxa"/>
            <w:gridSpan w:val="4"/>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5"/>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6"/>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6"/>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6" w:type="dxa"/>
            <w:gridSpan w:val="2"/>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6"/>
          <w:wAfter w:w="3722" w:type="dxa"/>
          <w:trHeight w:val="285"/>
        </w:trPr>
        <w:tc>
          <w:tcPr>
            <w:tcW w:w="5529"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Contributed equity</w:t>
            </w: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6"/>
          <w:wAfter w:w="3722"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29"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6"/>
          <w:wAfter w:w="3722"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29"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6"/>
          <w:wAfter w:w="3722" w:type="dxa"/>
          <w:trHeight w:val="285"/>
        </w:trPr>
        <w:tc>
          <w:tcPr>
            <w:tcW w:w="5529"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Balance at start of period</w:t>
            </w: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1,026</w:t>
            </w: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1,026</w:t>
            </w: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6"/>
          <w:wAfter w:w="3722" w:type="dxa"/>
          <w:trHeight w:val="300"/>
        </w:trPr>
        <w:tc>
          <w:tcPr>
            <w:tcW w:w="5529"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Balance at end of period</w:t>
            </w: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278" w:type="dxa"/>
            <w:gridSpan w:val="6"/>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1,026</w:t>
            </w:r>
          </w:p>
        </w:tc>
        <w:tc>
          <w:tcPr>
            <w:tcW w:w="1376" w:type="dxa"/>
            <w:gridSpan w:val="9"/>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1,026</w:t>
            </w: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6"/>
          <w:wAfter w:w="3722" w:type="dxa"/>
          <w:trHeight w:val="285"/>
        </w:trPr>
        <w:tc>
          <w:tcPr>
            <w:tcW w:w="5529"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Accumulated surplus/(deficit)</w:t>
            </w: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6"/>
          <w:wAfter w:w="3722"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29"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6"/>
          <w:wAfter w:w="3722"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29"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6"/>
          <w:wAfter w:w="3722" w:type="dxa"/>
          <w:trHeight w:val="285"/>
        </w:trPr>
        <w:tc>
          <w:tcPr>
            <w:tcW w:w="5529"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Balance at start of period</w:t>
            </w: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1,672</w:t>
            </w: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2,116</w:t>
            </w: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6"/>
          <w:wAfter w:w="3722" w:type="dxa"/>
          <w:trHeight w:val="285"/>
        </w:trPr>
        <w:tc>
          <w:tcPr>
            <w:tcW w:w="5529"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Result for the period</w:t>
            </w: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(643)</w:t>
            </w: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(444)</w:t>
            </w: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6"/>
          <w:wAfter w:w="3722" w:type="dxa"/>
          <w:trHeight w:val="300"/>
        </w:trPr>
        <w:tc>
          <w:tcPr>
            <w:tcW w:w="5529"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Balance at end of period</w:t>
            </w: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278" w:type="dxa"/>
            <w:gridSpan w:val="6"/>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1,029</w:t>
            </w:r>
          </w:p>
        </w:tc>
        <w:tc>
          <w:tcPr>
            <w:tcW w:w="1376" w:type="dxa"/>
            <w:gridSpan w:val="9"/>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1,672</w:t>
            </w: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6"/>
          <w:wAfter w:w="3722" w:type="dxa"/>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29"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B40057">
        <w:trPr>
          <w:gridAfter w:val="16"/>
          <w:wAfter w:w="3722" w:type="dxa"/>
          <w:trHeight w:val="300"/>
        </w:trPr>
        <w:tc>
          <w:tcPr>
            <w:tcW w:w="5529"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equity at end of period</w:t>
            </w: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8" w:type="dxa"/>
            <w:gridSpan w:val="6"/>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2,055</w:t>
            </w:r>
          </w:p>
        </w:tc>
        <w:tc>
          <w:tcPr>
            <w:tcW w:w="1376" w:type="dxa"/>
            <w:gridSpan w:val="9"/>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2,698</w:t>
            </w: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6"/>
          <w:wAfter w:w="3722" w:type="dxa"/>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29"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B40057">
        <w:trPr>
          <w:gridAfter w:val="16"/>
          <w:wAfter w:w="3722" w:type="dxa"/>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29"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68"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9"/>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0915" w:type="dxa"/>
        <w:tblInd w:w="108" w:type="dxa"/>
        <w:tblLook w:val="04A0" w:firstRow="1" w:lastRow="0" w:firstColumn="1" w:lastColumn="0" w:noHBand="0" w:noVBand="1"/>
      </w:tblPr>
      <w:tblGrid>
        <w:gridCol w:w="284"/>
        <w:gridCol w:w="466"/>
        <w:gridCol w:w="550"/>
        <w:gridCol w:w="4229"/>
        <w:gridCol w:w="567"/>
        <w:gridCol w:w="1069"/>
        <w:gridCol w:w="567"/>
        <w:gridCol w:w="709"/>
        <w:gridCol w:w="567"/>
        <w:gridCol w:w="809"/>
        <w:gridCol w:w="65"/>
        <w:gridCol w:w="466"/>
        <w:gridCol w:w="171"/>
        <w:gridCol w:w="396"/>
      </w:tblGrid>
      <w:tr w:rsidR="0009212F" w:rsidRPr="0009212F" w:rsidTr="004B6B77">
        <w:trPr>
          <w:gridAfter w:val="2"/>
          <w:wAfter w:w="567" w:type="dxa"/>
          <w:trHeight w:val="300"/>
        </w:trPr>
        <w:tc>
          <w:tcPr>
            <w:tcW w:w="10348" w:type="dxa"/>
            <w:gridSpan w:val="12"/>
            <w:tcBorders>
              <w:top w:val="nil"/>
              <w:left w:val="nil"/>
              <w:bottom w:val="nil"/>
              <w:right w:val="nil"/>
            </w:tcBorders>
            <w:shd w:val="clear" w:color="auto" w:fill="auto"/>
            <w:noWrap/>
            <w:vAlign w:val="bottom"/>
            <w:hideMark/>
          </w:tcPr>
          <w:p w:rsidR="004B6B77" w:rsidRPr="0009212F" w:rsidRDefault="0009212F" w:rsidP="004B6B77">
            <w:pPr>
              <w:pStyle w:val="BodyCopy"/>
              <w:tabs>
                <w:tab w:val="left" w:pos="709"/>
                <w:tab w:val="left" w:pos="5704"/>
              </w:tabs>
              <w:spacing w:before="40" w:after="40" w:line="160" w:lineRule="atLeast"/>
              <w:ind w:left="1418" w:hanging="1418"/>
              <w:rPr>
                <w:color w:val="404040" w:themeColor="text1" w:themeTint="BF"/>
                <w:sz w:val="18"/>
                <w:szCs w:val="18"/>
                <w:lang w:val="en-AU"/>
              </w:rPr>
            </w:pPr>
            <w:r w:rsidRPr="0009212F">
              <w:rPr>
                <w:b/>
                <w:bCs/>
                <w:i/>
                <w:iCs/>
                <w:color w:val="404040" w:themeColor="text1" w:themeTint="BF"/>
                <w:sz w:val="18"/>
                <w:szCs w:val="18"/>
                <w:lang w:val="en-AU"/>
              </w:rPr>
              <w:lastRenderedPageBreak/>
              <w:t>Note 24.   Notes to the Statement of Cash Flows</w:t>
            </w:r>
            <w:r w:rsidR="004B6B77" w:rsidRPr="0009212F">
              <w:rPr>
                <w:b/>
                <w:bCs/>
                <w:color w:val="404040" w:themeColor="text1" w:themeTint="BF"/>
                <w:sz w:val="18"/>
                <w:szCs w:val="18"/>
                <w:lang w:val="en-AU"/>
              </w:rPr>
              <w:t xml:space="preserve"> </w:t>
            </w:r>
            <w:r w:rsidR="004B6B77">
              <w:rPr>
                <w:b/>
                <w:bCs/>
                <w:color w:val="404040" w:themeColor="text1" w:themeTint="BF"/>
                <w:sz w:val="18"/>
                <w:szCs w:val="18"/>
                <w:lang w:val="en-AU"/>
              </w:rPr>
              <w:tab/>
            </w:r>
            <w:r w:rsidR="004B6B77" w:rsidRPr="0009212F">
              <w:rPr>
                <w:b/>
                <w:bCs/>
                <w:color w:val="404040" w:themeColor="text1" w:themeTint="BF"/>
                <w:sz w:val="18"/>
                <w:szCs w:val="18"/>
                <w:lang w:val="en-AU"/>
              </w:rPr>
              <w:t>Western Australian Electoral Commission - 30 June</w:t>
            </w:r>
          </w:p>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4B6B77">
        <w:trPr>
          <w:gridAfter w:val="2"/>
          <w:wAfter w:w="567" w:type="dxa"/>
          <w:trHeight w:val="285"/>
        </w:trPr>
        <w:tc>
          <w:tcPr>
            <w:tcW w:w="5529"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Reconciliation of cash</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1"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gridAfter w:val="2"/>
          <w:wAfter w:w="567" w:type="dxa"/>
          <w:trHeight w:val="525"/>
        </w:trPr>
        <w:tc>
          <w:tcPr>
            <w:tcW w:w="9817" w:type="dxa"/>
            <w:gridSpan w:val="10"/>
            <w:tcBorders>
              <w:top w:val="nil"/>
              <w:left w:val="nil"/>
              <w:bottom w:val="nil"/>
              <w:right w:val="nil"/>
            </w:tcBorders>
            <w:shd w:val="clear" w:color="auto" w:fill="auto"/>
            <w:vAlign w:val="bottom"/>
            <w:hideMark/>
          </w:tcPr>
          <w:p w:rsidR="0009212F" w:rsidRPr="0009212F" w:rsidRDefault="0009212F" w:rsidP="00047F19">
            <w:pPr>
              <w:pStyle w:val="BodyCopy"/>
              <w:tabs>
                <w:tab w:val="left" w:pos="709"/>
              </w:tabs>
              <w:spacing w:before="40" w:after="40" w:line="160" w:lineRule="atLeast"/>
              <w:ind w:left="34" w:hanging="34"/>
              <w:rPr>
                <w:color w:val="404040" w:themeColor="text1" w:themeTint="BF"/>
                <w:sz w:val="18"/>
                <w:szCs w:val="18"/>
                <w:lang w:val="en-AU"/>
              </w:rPr>
            </w:pPr>
            <w:r w:rsidRPr="0009212F">
              <w:rPr>
                <w:color w:val="404040" w:themeColor="text1" w:themeTint="BF"/>
                <w:sz w:val="18"/>
                <w:szCs w:val="18"/>
                <w:lang w:val="en-AU"/>
              </w:rPr>
              <w:t>Cash at the end of the financial year as shown in the Statement of Cash Flows is reconciled to the related items in the Statement of Financial Position as follows:</w:t>
            </w:r>
          </w:p>
        </w:tc>
        <w:tc>
          <w:tcPr>
            <w:tcW w:w="531" w:type="dxa"/>
            <w:gridSpan w:val="2"/>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796" w:type="dxa"/>
            <w:gridSpan w:val="2"/>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2"/>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796" w:type="dxa"/>
            <w:gridSpan w:val="2"/>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2"/>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Cash and cash equivalents</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457</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592</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7732"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Restricted cash and cash equivalents (refer to note 14 'Restricted cash and cash equivalents')</w:t>
            </w: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151</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126</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300"/>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608</w:t>
            </w:r>
          </w:p>
        </w:tc>
        <w:tc>
          <w:tcPr>
            <w:tcW w:w="1511" w:type="dxa"/>
            <w:gridSpan w:val="4"/>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718</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4B6B77">
        <w:trPr>
          <w:trHeight w:val="300"/>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510"/>
        </w:trPr>
        <w:tc>
          <w:tcPr>
            <w:tcW w:w="9008" w:type="dxa"/>
            <w:gridSpan w:val="9"/>
            <w:tcBorders>
              <w:top w:val="nil"/>
              <w:left w:val="nil"/>
              <w:bottom w:val="nil"/>
              <w:right w:val="nil"/>
            </w:tcBorders>
            <w:shd w:val="clear" w:color="auto" w:fill="auto"/>
            <w:noWrap/>
            <w:vAlign w:val="bottom"/>
            <w:hideMark/>
          </w:tcPr>
          <w:p w:rsidR="0009212F" w:rsidRPr="0009212F" w:rsidRDefault="0009212F" w:rsidP="007D38A8">
            <w:pPr>
              <w:pStyle w:val="BodyCopy"/>
              <w:tabs>
                <w:tab w:val="left" w:pos="709"/>
              </w:tabs>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Reconciliation of net cost of services to net cash flows provided by/(used in) operating activities</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396"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 </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Net cost of services</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(9,444)</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(7,880)</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Non-cash items</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u w:val="single"/>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Depreciation and amortisation expense</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234</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198</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Services received free of charge</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86</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59</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(Increase)/decrease in assets</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Current receivables </w:t>
            </w:r>
            <w:r w:rsidRPr="0009212F">
              <w:rPr>
                <w:color w:val="404040" w:themeColor="text1" w:themeTint="BF"/>
                <w:sz w:val="18"/>
                <w:szCs w:val="18"/>
                <w:vertAlign w:val="superscript"/>
                <w:lang w:val="en-AU"/>
              </w:rPr>
              <w:t>(a)</w:t>
            </w:r>
            <w:r w:rsidRPr="0009212F">
              <w:rPr>
                <w:color w:val="404040" w:themeColor="text1" w:themeTint="BF"/>
                <w:sz w:val="18"/>
                <w:szCs w:val="18"/>
                <w:lang w:val="en-AU"/>
              </w:rPr>
              <w:t xml:space="preserve">  </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49</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Increase/(decrease) in liabilities</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u w:val="single"/>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Current payables </w:t>
            </w:r>
            <w:r w:rsidRPr="0009212F">
              <w:rPr>
                <w:color w:val="404040" w:themeColor="text1" w:themeTint="BF"/>
                <w:sz w:val="18"/>
                <w:szCs w:val="18"/>
                <w:vertAlign w:val="superscript"/>
                <w:lang w:val="en-AU"/>
              </w:rPr>
              <w:t>(a)</w:t>
            </w:r>
            <w:r w:rsidRPr="0009212F">
              <w:rPr>
                <w:color w:val="404040" w:themeColor="text1" w:themeTint="BF"/>
                <w:sz w:val="18"/>
                <w:szCs w:val="18"/>
                <w:lang w:val="en-AU"/>
              </w:rPr>
              <w:t xml:space="preserve"> </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232</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105</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Current provisions</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(69)</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Non-current provisions</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(51)</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(73)</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Net GST receipts/(payments) </w:t>
            </w:r>
            <w:r w:rsidRPr="0009212F">
              <w:rPr>
                <w:color w:val="404040" w:themeColor="text1" w:themeTint="BF"/>
                <w:sz w:val="18"/>
                <w:szCs w:val="18"/>
                <w:vertAlign w:val="superscript"/>
                <w:lang w:val="en-AU"/>
              </w:rPr>
              <w:t>(b)</w:t>
            </w:r>
            <w:r w:rsidRPr="0009212F">
              <w:rPr>
                <w:color w:val="404040" w:themeColor="text1" w:themeTint="BF"/>
                <w:sz w:val="18"/>
                <w:szCs w:val="18"/>
                <w:lang w:val="en-AU"/>
              </w:rPr>
              <w:t xml:space="preserve"> </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322</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Change in GST in receivables/payables</w:t>
            </w:r>
            <w:r w:rsidRPr="0009212F">
              <w:rPr>
                <w:color w:val="404040" w:themeColor="text1" w:themeTint="BF"/>
                <w:sz w:val="18"/>
                <w:szCs w:val="18"/>
                <w:vertAlign w:val="superscript"/>
                <w:lang w:val="en-AU"/>
              </w:rPr>
              <w:t>(c)</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125</w:t>
            </w: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(122)</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300"/>
        </w:trPr>
        <w:tc>
          <w:tcPr>
            <w:tcW w:w="6096"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Net cash provided by/(used in) operating activities</w:t>
            </w: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(8,792)</w:t>
            </w:r>
          </w:p>
        </w:tc>
        <w:tc>
          <w:tcPr>
            <w:tcW w:w="1511" w:type="dxa"/>
            <w:gridSpan w:val="4"/>
            <w:tcBorders>
              <w:top w:val="single" w:sz="4" w:space="0" w:color="auto"/>
              <w:left w:val="nil"/>
              <w:bottom w:val="double" w:sz="6" w:space="0" w:color="auto"/>
              <w:right w:val="nil"/>
            </w:tcBorders>
            <w:shd w:val="clear" w:color="auto" w:fill="auto"/>
            <w:noWrap/>
            <w:vAlign w:val="bottom"/>
            <w:hideMark/>
          </w:tcPr>
          <w:p w:rsidR="0009212F" w:rsidRPr="0009212F" w:rsidRDefault="0009212F" w:rsidP="004B6B7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(7,411)</w:t>
            </w: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r>
      <w:tr w:rsidR="0009212F" w:rsidRPr="0009212F" w:rsidTr="004B6B77">
        <w:trPr>
          <w:trHeight w:val="300"/>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7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11"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gridAfter w:val="2"/>
          <w:wAfter w:w="567" w:type="dxa"/>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2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0</w:t>
            </w: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-0</w:t>
            </w:r>
          </w:p>
        </w:tc>
        <w:tc>
          <w:tcPr>
            <w:tcW w:w="531"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3"/>
          <w:wAfter w:w="1033" w:type="dxa"/>
          <w:trHeight w:val="555"/>
        </w:trPr>
        <w:tc>
          <w:tcPr>
            <w:tcW w:w="28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598" w:type="dxa"/>
            <w:gridSpan w:val="10"/>
            <w:tcBorders>
              <w:top w:val="nil"/>
              <w:left w:val="nil"/>
              <w:bottom w:val="nil"/>
              <w:right w:val="nil"/>
            </w:tcBorders>
            <w:shd w:val="clear" w:color="auto" w:fill="auto"/>
            <w:vAlign w:val="bottom"/>
            <w:hideMark/>
          </w:tcPr>
          <w:p w:rsidR="0009212F" w:rsidRPr="0009212F" w:rsidRDefault="0009212F" w:rsidP="00047F19">
            <w:pPr>
              <w:pStyle w:val="BodyCopy"/>
              <w:numPr>
                <w:ilvl w:val="0"/>
                <w:numId w:val="15"/>
              </w:numPr>
              <w:spacing w:before="40" w:after="40" w:line="160" w:lineRule="atLeast"/>
              <w:ind w:left="332" w:hanging="339"/>
              <w:rPr>
                <w:color w:val="404040" w:themeColor="text1" w:themeTint="BF"/>
                <w:sz w:val="18"/>
                <w:szCs w:val="18"/>
                <w:lang w:val="en-AU"/>
              </w:rPr>
            </w:pPr>
            <w:r w:rsidRPr="0009212F">
              <w:rPr>
                <w:color w:val="404040" w:themeColor="text1" w:themeTint="BF"/>
                <w:sz w:val="18"/>
                <w:szCs w:val="18"/>
                <w:lang w:val="en-AU"/>
              </w:rPr>
              <w:t xml:space="preserve">Note that the Australian Taxation Office (ATO) receivable/payable in respect of GST and the receivable/payable in respect of the sale/purchase of non-current assets are not included in these items as they do not form part of the reconciling items. </w:t>
            </w:r>
          </w:p>
        </w:tc>
      </w:tr>
      <w:tr w:rsidR="0009212F" w:rsidRPr="0009212F" w:rsidTr="007D38A8">
        <w:trPr>
          <w:gridAfter w:val="3"/>
          <w:wAfter w:w="1033" w:type="dxa"/>
          <w:trHeight w:val="255"/>
        </w:trPr>
        <w:tc>
          <w:tcPr>
            <w:tcW w:w="28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598" w:type="dxa"/>
            <w:gridSpan w:val="10"/>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(b)  This is the net GST paid/received, </w:t>
            </w:r>
            <w:proofErr w:type="spellStart"/>
            <w:r w:rsidRPr="0009212F">
              <w:rPr>
                <w:color w:val="404040" w:themeColor="text1" w:themeTint="BF"/>
                <w:sz w:val="18"/>
                <w:szCs w:val="18"/>
                <w:lang w:val="en-AU"/>
              </w:rPr>
              <w:t>i.e</w:t>
            </w:r>
            <w:proofErr w:type="spellEnd"/>
            <w:r w:rsidRPr="0009212F">
              <w:rPr>
                <w:color w:val="404040" w:themeColor="text1" w:themeTint="BF"/>
                <w:sz w:val="18"/>
                <w:szCs w:val="18"/>
                <w:lang w:val="en-AU"/>
              </w:rPr>
              <w:t xml:space="preserve"> cash transaction. </w:t>
            </w:r>
          </w:p>
        </w:tc>
      </w:tr>
      <w:tr w:rsidR="0009212F" w:rsidRPr="0009212F" w:rsidTr="007D38A8">
        <w:trPr>
          <w:gridAfter w:val="3"/>
          <w:wAfter w:w="1033" w:type="dxa"/>
          <w:trHeight w:val="255"/>
        </w:trPr>
        <w:tc>
          <w:tcPr>
            <w:tcW w:w="284"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598" w:type="dxa"/>
            <w:gridSpan w:val="10"/>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(c)  This reverses out the GST in receivables and payables. </w:t>
            </w:r>
          </w:p>
        </w:tc>
      </w:tr>
      <w:tr w:rsidR="0009212F" w:rsidRPr="0009212F" w:rsidTr="004B6B77">
        <w:trPr>
          <w:gridAfter w:val="2"/>
          <w:wAfter w:w="567" w:type="dxa"/>
          <w:trHeight w:val="285"/>
        </w:trPr>
        <w:tc>
          <w:tcPr>
            <w:tcW w:w="75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29"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6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31"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0348" w:type="dxa"/>
        <w:tblInd w:w="108" w:type="dxa"/>
        <w:tblLook w:val="04A0" w:firstRow="1" w:lastRow="0" w:firstColumn="1" w:lastColumn="0" w:noHBand="0" w:noVBand="1"/>
      </w:tblPr>
      <w:tblGrid>
        <w:gridCol w:w="750"/>
        <w:gridCol w:w="550"/>
        <w:gridCol w:w="3803"/>
        <w:gridCol w:w="1436"/>
        <w:gridCol w:w="1276"/>
        <w:gridCol w:w="2533"/>
      </w:tblGrid>
      <w:tr w:rsidR="004B6B77" w:rsidRPr="0009212F" w:rsidTr="004B6B77">
        <w:trPr>
          <w:trHeight w:val="300"/>
        </w:trPr>
        <w:tc>
          <w:tcPr>
            <w:tcW w:w="750" w:type="dxa"/>
            <w:tcBorders>
              <w:top w:val="nil"/>
              <w:left w:val="nil"/>
              <w:bottom w:val="nil"/>
              <w:right w:val="nil"/>
            </w:tcBorders>
            <w:shd w:val="clear" w:color="auto" w:fill="auto"/>
            <w:noWrap/>
            <w:vAlign w:val="bottom"/>
            <w:hideMark/>
          </w:tcPr>
          <w:p w:rsidR="004B6B77" w:rsidRPr="0009212F" w:rsidRDefault="004B6B77"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lastRenderedPageBreak/>
              <w:t>Note</w:t>
            </w:r>
          </w:p>
        </w:tc>
        <w:tc>
          <w:tcPr>
            <w:tcW w:w="550" w:type="dxa"/>
            <w:tcBorders>
              <w:top w:val="nil"/>
              <w:left w:val="nil"/>
              <w:bottom w:val="nil"/>
              <w:right w:val="nil"/>
            </w:tcBorders>
            <w:shd w:val="clear" w:color="auto" w:fill="auto"/>
            <w:noWrap/>
            <w:vAlign w:val="bottom"/>
            <w:hideMark/>
          </w:tcPr>
          <w:p w:rsidR="004B6B77" w:rsidRPr="0009212F" w:rsidRDefault="004B6B77"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25.</w:t>
            </w:r>
          </w:p>
        </w:tc>
        <w:tc>
          <w:tcPr>
            <w:tcW w:w="3803" w:type="dxa"/>
            <w:tcBorders>
              <w:top w:val="nil"/>
              <w:left w:val="nil"/>
              <w:bottom w:val="nil"/>
              <w:right w:val="nil"/>
            </w:tcBorders>
            <w:shd w:val="clear" w:color="auto" w:fill="auto"/>
            <w:noWrap/>
            <w:vAlign w:val="bottom"/>
            <w:hideMark/>
          </w:tcPr>
          <w:p w:rsidR="004B6B77" w:rsidRPr="0009212F" w:rsidRDefault="004B6B77"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Commitments</w:t>
            </w:r>
          </w:p>
        </w:tc>
        <w:tc>
          <w:tcPr>
            <w:tcW w:w="5245" w:type="dxa"/>
            <w:gridSpan w:val="3"/>
            <w:tcBorders>
              <w:top w:val="nil"/>
              <w:left w:val="nil"/>
              <w:bottom w:val="nil"/>
            </w:tcBorders>
            <w:shd w:val="clear" w:color="auto" w:fill="auto"/>
            <w:noWrap/>
            <w:vAlign w:val="bottom"/>
            <w:hideMark/>
          </w:tcPr>
          <w:p w:rsidR="004B6B77" w:rsidRPr="0009212F" w:rsidRDefault="004B6B77" w:rsidP="004B6B77">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b/>
                <w:bCs/>
                <w:color w:val="404040" w:themeColor="text1" w:themeTint="BF"/>
                <w:sz w:val="18"/>
                <w:szCs w:val="18"/>
                <w:lang w:val="en-AU"/>
              </w:rPr>
              <w:t>Western Australian Electoral Commission - 30 June</w:t>
            </w:r>
          </w:p>
          <w:p w:rsidR="004B6B77" w:rsidRPr="0009212F" w:rsidRDefault="004B6B77"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4B6B77">
        <w:trPr>
          <w:trHeight w:val="300"/>
        </w:trPr>
        <w:tc>
          <w:tcPr>
            <w:tcW w:w="510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commitments below are inclusive of GST.</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4B6B77">
        <w:trPr>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4B6B77">
        <w:trPr>
          <w:trHeight w:val="360"/>
        </w:trPr>
        <w:tc>
          <w:tcPr>
            <w:tcW w:w="5103" w:type="dxa"/>
            <w:gridSpan w:val="3"/>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Non-cancellable operating lease commitments</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885"/>
        </w:trPr>
        <w:tc>
          <w:tcPr>
            <w:tcW w:w="10348" w:type="dxa"/>
            <w:gridSpan w:val="6"/>
            <w:tcBorders>
              <w:top w:val="nil"/>
              <w:left w:val="nil"/>
              <w:bottom w:val="nil"/>
              <w:right w:val="nil"/>
            </w:tcBorders>
            <w:shd w:val="clear" w:color="auto" w:fill="auto"/>
            <w:vAlign w:val="bottom"/>
            <w:hideMark/>
          </w:tcPr>
          <w:p w:rsidR="0009212F" w:rsidRPr="0009212F" w:rsidRDefault="0009212F" w:rsidP="00047F19">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Commission is an occupier of premises in Perth.  The lessee for accommodation is The Honourable Minister for Works with the Department of Finance responsible for payment of all leases and associated costs to the lessors. The Commission reimburses the Department of Finance for lease payments and the cost of outgoings.</w:t>
            </w:r>
          </w:p>
        </w:tc>
      </w:tr>
      <w:tr w:rsidR="0009212F" w:rsidRPr="0009212F" w:rsidTr="004B6B77">
        <w:trPr>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4B6B77">
        <w:trPr>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4B6B77">
        <w:trPr>
          <w:trHeight w:val="300"/>
        </w:trPr>
        <w:tc>
          <w:tcPr>
            <w:tcW w:w="5103" w:type="dxa"/>
            <w:gridSpan w:val="3"/>
            <w:tcBorders>
              <w:top w:val="nil"/>
              <w:left w:val="nil"/>
              <w:bottom w:val="nil"/>
              <w:right w:val="nil"/>
            </w:tcBorders>
            <w:shd w:val="clear" w:color="auto" w:fill="auto"/>
            <w:noWrap/>
            <w:vAlign w:val="bottom"/>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Commitments for minimum lease payments are payable as follows:</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4B6B77">
        <w:trPr>
          <w:trHeight w:val="300"/>
        </w:trPr>
        <w:tc>
          <w:tcPr>
            <w:tcW w:w="5103" w:type="dxa"/>
            <w:gridSpan w:val="3"/>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Motor vehicles</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4B6B77">
        <w:trPr>
          <w:trHeight w:val="300"/>
        </w:trPr>
        <w:tc>
          <w:tcPr>
            <w:tcW w:w="5103" w:type="dxa"/>
            <w:gridSpan w:val="3"/>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Within 1 year</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23</w:t>
            </w: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w:t>
            </w:r>
          </w:p>
        </w:tc>
      </w:tr>
      <w:tr w:rsidR="0009212F" w:rsidRPr="0009212F" w:rsidTr="004B6B77">
        <w:trPr>
          <w:trHeight w:val="300"/>
        </w:trPr>
        <w:tc>
          <w:tcPr>
            <w:tcW w:w="5103" w:type="dxa"/>
            <w:gridSpan w:val="3"/>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Later than 1 year and not later than 5 years</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w:t>
            </w: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w:t>
            </w:r>
          </w:p>
        </w:tc>
      </w:tr>
      <w:tr w:rsidR="0009212F" w:rsidRPr="0009212F" w:rsidTr="004B6B77">
        <w:trPr>
          <w:trHeight w:val="315"/>
        </w:trPr>
        <w:tc>
          <w:tcPr>
            <w:tcW w:w="750"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35</w:t>
            </w:r>
          </w:p>
        </w:tc>
        <w:tc>
          <w:tcPr>
            <w:tcW w:w="2533"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29</w:t>
            </w:r>
          </w:p>
        </w:tc>
      </w:tr>
      <w:tr w:rsidR="0009212F" w:rsidRPr="0009212F" w:rsidTr="004B6B77">
        <w:trPr>
          <w:trHeight w:val="315"/>
        </w:trPr>
        <w:tc>
          <w:tcPr>
            <w:tcW w:w="750"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r>
      <w:tr w:rsidR="0009212F" w:rsidRPr="0009212F" w:rsidTr="004B6B77">
        <w:trPr>
          <w:trHeight w:val="300"/>
        </w:trPr>
        <w:tc>
          <w:tcPr>
            <w:tcW w:w="750"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r>
      <w:tr w:rsidR="0009212F" w:rsidRPr="0009212F" w:rsidTr="004B6B77">
        <w:trPr>
          <w:trHeight w:val="300"/>
        </w:trPr>
        <w:tc>
          <w:tcPr>
            <w:tcW w:w="750"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4B6B77">
        <w:trPr>
          <w:trHeight w:val="300"/>
        </w:trPr>
        <w:tc>
          <w:tcPr>
            <w:tcW w:w="750"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4B6B77">
        <w:trPr>
          <w:trHeight w:val="300"/>
        </w:trPr>
        <w:tc>
          <w:tcPr>
            <w:tcW w:w="510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Accommodation</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i/>
                <w:iCs/>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i/>
                <w:iCs/>
                <w:color w:val="404040" w:themeColor="text1" w:themeTint="BF"/>
                <w:sz w:val="18"/>
                <w:szCs w:val="18"/>
                <w:lang w:val="en-AU"/>
              </w:rPr>
            </w:pPr>
          </w:p>
        </w:tc>
      </w:tr>
      <w:tr w:rsidR="0009212F" w:rsidRPr="0009212F" w:rsidTr="004B6B77">
        <w:trPr>
          <w:trHeight w:val="285"/>
        </w:trPr>
        <w:tc>
          <w:tcPr>
            <w:tcW w:w="510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Within 1 year</w:t>
            </w:r>
            <w:r w:rsidRPr="0009212F">
              <w:rPr>
                <w:color w:val="404040" w:themeColor="text1" w:themeTint="BF"/>
                <w:sz w:val="18"/>
                <w:szCs w:val="18"/>
                <w:vertAlign w:val="superscript"/>
                <w:lang w:val="en-AU"/>
              </w:rPr>
              <w:t xml:space="preserve"> </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1,598</w:t>
            </w: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789</w:t>
            </w:r>
          </w:p>
        </w:tc>
      </w:tr>
      <w:tr w:rsidR="0009212F" w:rsidRPr="0009212F" w:rsidTr="004B6B77">
        <w:trPr>
          <w:trHeight w:val="285"/>
        </w:trPr>
        <w:tc>
          <w:tcPr>
            <w:tcW w:w="5103"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Later than 1 year and not later than 5 years</w:t>
            </w: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4,136</w:t>
            </w:r>
          </w:p>
        </w:tc>
        <w:tc>
          <w:tcPr>
            <w:tcW w:w="2533"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w:t>
            </w:r>
          </w:p>
        </w:tc>
      </w:tr>
      <w:tr w:rsidR="0009212F" w:rsidRPr="0009212F" w:rsidTr="004B6B77">
        <w:trPr>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5,734</w:t>
            </w:r>
          </w:p>
        </w:tc>
        <w:tc>
          <w:tcPr>
            <w:tcW w:w="2533" w:type="dxa"/>
            <w:tcBorders>
              <w:top w:val="single" w:sz="4" w:space="0" w:color="auto"/>
              <w:left w:val="nil"/>
              <w:bottom w:val="double" w:sz="6" w:space="0" w:color="auto"/>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798</w:t>
            </w:r>
          </w:p>
        </w:tc>
      </w:tr>
      <w:tr w:rsidR="0009212F" w:rsidRPr="0009212F" w:rsidTr="004B6B77">
        <w:trPr>
          <w:trHeight w:val="31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4B6B77">
        <w:trPr>
          <w:trHeight w:val="540"/>
        </w:trPr>
        <w:tc>
          <w:tcPr>
            <w:tcW w:w="10348" w:type="dxa"/>
            <w:gridSpan w:val="6"/>
            <w:tcBorders>
              <w:top w:val="nil"/>
              <w:left w:val="nil"/>
              <w:bottom w:val="nil"/>
              <w:right w:val="nil"/>
            </w:tcBorders>
            <w:shd w:val="clear" w:color="auto" w:fill="auto"/>
            <w:vAlign w:val="bottom"/>
            <w:hideMark/>
          </w:tcPr>
          <w:p w:rsidR="0009212F" w:rsidRPr="0009212F" w:rsidRDefault="0009212F" w:rsidP="00047F19">
            <w:pPr>
              <w:pStyle w:val="BodyCopy"/>
              <w:spacing w:before="40" w:after="40" w:line="160" w:lineRule="atLeast"/>
              <w:ind w:left="34" w:hanging="34"/>
              <w:rPr>
                <w:color w:val="404040" w:themeColor="text1" w:themeTint="BF"/>
                <w:sz w:val="18"/>
                <w:szCs w:val="18"/>
                <w:lang w:val="en-AU"/>
              </w:rPr>
            </w:pPr>
            <w:r w:rsidRPr="0009212F">
              <w:rPr>
                <w:color w:val="404040" w:themeColor="text1" w:themeTint="BF"/>
                <w:sz w:val="18"/>
                <w:szCs w:val="18"/>
                <w:lang w:val="en-AU"/>
              </w:rPr>
              <w:t>The Commission had entered into a non-cancellable five-year property lease. The new lease arrangement has been finalised and started in 1 December 2014 to 31 December 2018.</w:t>
            </w:r>
          </w:p>
        </w:tc>
      </w:tr>
      <w:tr w:rsidR="0009212F" w:rsidRPr="0009212F" w:rsidTr="004B6B77">
        <w:trPr>
          <w:trHeight w:val="300"/>
        </w:trPr>
        <w:tc>
          <w:tcPr>
            <w:tcW w:w="750"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803"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533" w:type="dxa"/>
            <w:tcBorders>
              <w:top w:val="nil"/>
              <w:left w:val="nil"/>
              <w:bottom w:val="nil"/>
              <w:right w:val="nil"/>
            </w:tcBorders>
            <w:shd w:val="clear" w:color="auto" w:fill="auto"/>
            <w:noWrap/>
            <w:vAlign w:val="center"/>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300"/>
        </w:trPr>
        <w:tc>
          <w:tcPr>
            <w:tcW w:w="1034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 26.    Contingent liabilities and contingent assets</w:t>
            </w:r>
          </w:p>
        </w:tc>
      </w:tr>
      <w:tr w:rsidR="0009212F" w:rsidRPr="0009212F" w:rsidTr="004B6B77">
        <w:trPr>
          <w:trHeight w:val="285"/>
        </w:trPr>
        <w:tc>
          <w:tcPr>
            <w:tcW w:w="10348"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There were no contingent liabilities or contingent assets as at 30 June 2015.</w:t>
            </w:r>
          </w:p>
        </w:tc>
      </w:tr>
      <w:tr w:rsidR="0009212F" w:rsidRPr="0009212F" w:rsidTr="004B6B77">
        <w:trPr>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30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Note</w:t>
            </w: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27.</w:t>
            </w:r>
          </w:p>
        </w:tc>
        <w:tc>
          <w:tcPr>
            <w:tcW w:w="5239"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Event occurring after the end of the reporting period</w:t>
            </w:r>
          </w:p>
        </w:tc>
        <w:tc>
          <w:tcPr>
            <w:tcW w:w="12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p>
        </w:tc>
      </w:tr>
      <w:tr w:rsidR="0009212F" w:rsidRPr="0009212F" w:rsidTr="004B6B77">
        <w:trPr>
          <w:trHeight w:val="285"/>
        </w:trPr>
        <w:tc>
          <w:tcPr>
            <w:tcW w:w="7815" w:type="dxa"/>
            <w:gridSpan w:val="5"/>
            <w:tcBorders>
              <w:top w:val="nil"/>
              <w:left w:val="nil"/>
              <w:bottom w:val="nil"/>
              <w:right w:val="nil"/>
            </w:tcBorders>
            <w:shd w:val="clear" w:color="auto" w:fill="auto"/>
            <w:noWrap/>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There were no events occurring after the end of the reporting date that impact on the financial statements.</w:t>
            </w:r>
          </w:p>
        </w:tc>
        <w:tc>
          <w:tcPr>
            <w:tcW w:w="25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33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4B6B77">
        <w:trPr>
          <w:trHeight w:val="28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80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533"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p w:rsidR="0009212F" w:rsidRPr="0009212F" w:rsidRDefault="0009212F" w:rsidP="00047F19">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w:t>
      </w:r>
    </w:p>
    <w:tbl>
      <w:tblPr>
        <w:tblW w:w="10978" w:type="dxa"/>
        <w:tblInd w:w="108" w:type="dxa"/>
        <w:tblLook w:val="04A0" w:firstRow="1" w:lastRow="0" w:firstColumn="1" w:lastColumn="0" w:noHBand="0" w:noVBand="1"/>
      </w:tblPr>
      <w:tblGrid>
        <w:gridCol w:w="750"/>
        <w:gridCol w:w="550"/>
        <w:gridCol w:w="2386"/>
        <w:gridCol w:w="1050"/>
        <w:gridCol w:w="1050"/>
        <w:gridCol w:w="1176"/>
        <w:gridCol w:w="1196"/>
        <w:gridCol w:w="1436"/>
        <w:gridCol w:w="1384"/>
      </w:tblGrid>
      <w:tr w:rsidR="0009212F" w:rsidRPr="0009212F" w:rsidTr="0009212F">
        <w:trPr>
          <w:trHeight w:val="300"/>
        </w:trPr>
        <w:tc>
          <w:tcPr>
            <w:tcW w:w="10978" w:type="dxa"/>
            <w:gridSpan w:val="9"/>
            <w:tcBorders>
              <w:top w:val="nil"/>
              <w:left w:val="nil"/>
              <w:bottom w:val="nil"/>
              <w:right w:val="nil"/>
            </w:tcBorders>
            <w:shd w:val="clear" w:color="auto" w:fill="auto"/>
            <w:noWrap/>
            <w:vAlign w:val="bottom"/>
            <w:hideMark/>
          </w:tcPr>
          <w:p w:rsidR="0009212F" w:rsidRPr="0009212F" w:rsidRDefault="0009212F" w:rsidP="00004257">
            <w:pPr>
              <w:pStyle w:val="BodyCopy"/>
              <w:tabs>
                <w:tab w:val="left" w:pos="709"/>
              </w:tabs>
              <w:spacing w:before="40" w:after="40" w:line="160" w:lineRule="atLeast"/>
              <w:rPr>
                <w:b/>
                <w:bCs/>
                <w:i/>
                <w:iCs/>
                <w:color w:val="404040" w:themeColor="text1" w:themeTint="BF"/>
                <w:sz w:val="18"/>
                <w:szCs w:val="18"/>
                <w:lang w:val="en-AU"/>
              </w:rPr>
            </w:pPr>
            <w:r w:rsidRPr="0009212F">
              <w:rPr>
                <w:b/>
                <w:bCs/>
                <w:i/>
                <w:iCs/>
                <w:color w:val="404040" w:themeColor="text1" w:themeTint="BF"/>
                <w:sz w:val="18"/>
                <w:szCs w:val="18"/>
                <w:lang w:val="en-AU"/>
              </w:rPr>
              <w:t>Note 28.   Explanatory statement</w:t>
            </w:r>
          </w:p>
        </w:tc>
      </w:tr>
      <w:tr w:rsidR="0009212F" w:rsidRPr="0009212F" w:rsidTr="0009212F">
        <w:trPr>
          <w:trHeight w:val="540"/>
        </w:trPr>
        <w:tc>
          <w:tcPr>
            <w:tcW w:w="10978" w:type="dxa"/>
            <w:gridSpan w:val="9"/>
            <w:tcBorders>
              <w:top w:val="nil"/>
              <w:left w:val="nil"/>
              <w:bottom w:val="nil"/>
              <w:right w:val="nil"/>
            </w:tcBorders>
            <w:shd w:val="clear" w:color="auto" w:fill="auto"/>
            <w:vAlign w:val="bottom"/>
            <w:hideMark/>
          </w:tcPr>
          <w:p w:rsidR="0009212F" w:rsidRPr="0009212F" w:rsidRDefault="0009212F" w:rsidP="00047F19">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Major variances between estimates (original budget) and actual results for </w:t>
            </w:r>
            <w:proofErr w:type="gramStart"/>
            <w:r w:rsidRPr="0009212F">
              <w:rPr>
                <w:color w:val="404040" w:themeColor="text1" w:themeTint="BF"/>
                <w:sz w:val="18"/>
                <w:szCs w:val="18"/>
                <w:lang w:val="en-AU"/>
              </w:rPr>
              <w:t xml:space="preserve">2015, and between the actual results for </w:t>
            </w:r>
            <w:r w:rsidRPr="0009212F">
              <w:rPr>
                <w:color w:val="404040" w:themeColor="text1" w:themeTint="BF"/>
                <w:sz w:val="18"/>
                <w:szCs w:val="18"/>
                <w:lang w:val="en-AU"/>
              </w:rPr>
              <w:br/>
              <w:t>2014</w:t>
            </w:r>
            <w:proofErr w:type="gramEnd"/>
            <w:r w:rsidRPr="0009212F">
              <w:rPr>
                <w:color w:val="404040" w:themeColor="text1" w:themeTint="BF"/>
                <w:sz w:val="18"/>
                <w:szCs w:val="18"/>
                <w:lang w:val="en-AU"/>
              </w:rPr>
              <w:t xml:space="preserve"> and 2015 are shown below. Major variances are considered to be those greater than 10% or $10,000,000.</w:t>
            </w:r>
          </w:p>
        </w:tc>
      </w:tr>
      <w:tr w:rsidR="00004257" w:rsidRPr="0009212F" w:rsidTr="00A12070">
        <w:trPr>
          <w:trHeight w:val="255"/>
        </w:trPr>
        <w:tc>
          <w:tcPr>
            <w:tcW w:w="750"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vMerge w:val="restart"/>
            <w:tcBorders>
              <w:top w:val="nil"/>
              <w:left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Variance</w:t>
            </w:r>
          </w:p>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Note</w:t>
            </w:r>
          </w:p>
        </w:tc>
        <w:tc>
          <w:tcPr>
            <w:tcW w:w="1050" w:type="dxa"/>
            <w:vMerge w:val="restart"/>
            <w:tcBorders>
              <w:top w:val="nil"/>
              <w:left w:val="nil"/>
              <w:right w:val="nil"/>
            </w:tcBorders>
            <w:shd w:val="clear" w:color="auto" w:fill="auto"/>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Estimate</w:t>
            </w:r>
          </w:p>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176" w:type="dxa"/>
            <w:vMerge w:val="restart"/>
            <w:tcBorders>
              <w:top w:val="nil"/>
              <w:left w:val="nil"/>
              <w:right w:val="nil"/>
            </w:tcBorders>
            <w:shd w:val="clear" w:color="000000" w:fill="F2F2F2"/>
            <w:noWrap/>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Actual</w:t>
            </w:r>
          </w:p>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2015</w:t>
            </w:r>
          </w:p>
        </w:tc>
        <w:tc>
          <w:tcPr>
            <w:tcW w:w="1196" w:type="dxa"/>
            <w:vMerge w:val="restart"/>
            <w:tcBorders>
              <w:top w:val="nil"/>
              <w:left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Actual</w:t>
            </w:r>
          </w:p>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2014</w:t>
            </w:r>
          </w:p>
        </w:tc>
        <w:tc>
          <w:tcPr>
            <w:tcW w:w="1436" w:type="dxa"/>
            <w:tcBorders>
              <w:top w:val="nil"/>
              <w:left w:val="nil"/>
              <w:bottom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jc w:val="right"/>
              <w:rPr>
                <w:b/>
                <w:bCs/>
                <w:color w:val="404040" w:themeColor="text1" w:themeTint="BF"/>
                <w:sz w:val="18"/>
                <w:szCs w:val="18"/>
                <w:lang w:val="en-AU"/>
              </w:rPr>
            </w:pPr>
          </w:p>
        </w:tc>
      </w:tr>
      <w:tr w:rsidR="00004257" w:rsidRPr="0009212F" w:rsidTr="00A12070">
        <w:trPr>
          <w:trHeight w:val="255"/>
        </w:trPr>
        <w:tc>
          <w:tcPr>
            <w:tcW w:w="750"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vMerge/>
            <w:tcBorders>
              <w:left w:val="nil"/>
              <w:right w:val="nil"/>
            </w:tcBorders>
            <w:vAlign w:val="center"/>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050" w:type="dxa"/>
            <w:vMerge/>
            <w:tcBorders>
              <w:left w:val="nil"/>
              <w:right w:val="nil"/>
            </w:tcBorders>
            <w:vAlign w:val="center"/>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176" w:type="dxa"/>
            <w:vMerge/>
            <w:tcBorders>
              <w:left w:val="nil"/>
              <w:right w:val="nil"/>
            </w:tcBorders>
            <w:vAlign w:val="center"/>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196" w:type="dxa"/>
            <w:vMerge/>
            <w:tcBorders>
              <w:left w:val="nil"/>
              <w:right w:val="nil"/>
            </w:tcBorders>
            <w:vAlign w:val="center"/>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436" w:type="dxa"/>
            <w:vMerge w:val="restart"/>
            <w:tcBorders>
              <w:top w:val="nil"/>
              <w:left w:val="nil"/>
              <w:right w:val="nil"/>
            </w:tcBorders>
            <w:shd w:val="clear" w:color="auto" w:fill="auto"/>
            <w:noWrap/>
            <w:vAlign w:val="bottom"/>
            <w:hideMark/>
          </w:tcPr>
          <w:p w:rsidR="00004257"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Pr>
                <w:b/>
                <w:bCs/>
                <w:color w:val="404040" w:themeColor="text1" w:themeTint="BF"/>
                <w:sz w:val="18"/>
                <w:szCs w:val="18"/>
                <w:lang w:val="en-AU"/>
              </w:rPr>
              <w:t>Variance</w:t>
            </w:r>
          </w:p>
          <w:p w:rsidR="00004257" w:rsidRPr="0009212F" w:rsidRDefault="00004257" w:rsidP="00A12070">
            <w:pPr>
              <w:pStyle w:val="BodyCopy"/>
              <w:tabs>
                <w:tab w:val="left" w:pos="709"/>
              </w:tabs>
              <w:spacing w:before="40" w:after="40" w:line="160" w:lineRule="atLeast"/>
              <w:jc w:val="right"/>
              <w:rPr>
                <w:b/>
                <w:bCs/>
                <w:color w:val="404040" w:themeColor="text1" w:themeTint="BF"/>
                <w:sz w:val="18"/>
                <w:szCs w:val="18"/>
                <w:lang w:val="en-AU"/>
              </w:rPr>
            </w:pPr>
            <w:r w:rsidRPr="0009212F">
              <w:rPr>
                <w:b/>
                <w:bCs/>
                <w:color w:val="404040" w:themeColor="text1" w:themeTint="BF"/>
                <w:sz w:val="18"/>
                <w:szCs w:val="18"/>
                <w:lang w:val="en-AU"/>
              </w:rPr>
              <w:t>between</w:t>
            </w:r>
          </w:p>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estimate and</w:t>
            </w:r>
          </w:p>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actual</w:t>
            </w:r>
          </w:p>
        </w:tc>
        <w:tc>
          <w:tcPr>
            <w:tcW w:w="1384" w:type="dxa"/>
            <w:vMerge w:val="restart"/>
            <w:tcBorders>
              <w:top w:val="nil"/>
              <w:left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jc w:val="right"/>
              <w:rPr>
                <w:b/>
                <w:bCs/>
                <w:color w:val="404040" w:themeColor="text1" w:themeTint="BF"/>
                <w:sz w:val="18"/>
                <w:szCs w:val="18"/>
                <w:lang w:val="en-AU"/>
              </w:rPr>
            </w:pPr>
            <w:r w:rsidRPr="0009212F">
              <w:rPr>
                <w:b/>
                <w:bCs/>
                <w:color w:val="404040" w:themeColor="text1" w:themeTint="BF"/>
                <w:sz w:val="18"/>
                <w:szCs w:val="18"/>
                <w:lang w:val="en-AU"/>
              </w:rPr>
              <w:t>Variance between actual</w:t>
            </w:r>
          </w:p>
          <w:p w:rsidR="00004257" w:rsidRPr="0009212F" w:rsidRDefault="00004257" w:rsidP="00A12070">
            <w:pPr>
              <w:pStyle w:val="BodyCopy"/>
              <w:tabs>
                <w:tab w:val="left" w:pos="709"/>
              </w:tabs>
              <w:spacing w:before="40" w:after="40" w:line="160" w:lineRule="atLeast"/>
              <w:jc w:val="right"/>
              <w:rPr>
                <w:b/>
                <w:bCs/>
                <w:color w:val="404040" w:themeColor="text1" w:themeTint="BF"/>
                <w:sz w:val="18"/>
                <w:szCs w:val="18"/>
                <w:lang w:val="en-AU"/>
              </w:rPr>
            </w:pPr>
            <w:r w:rsidRPr="0009212F">
              <w:rPr>
                <w:b/>
                <w:bCs/>
                <w:color w:val="404040" w:themeColor="text1" w:themeTint="BF"/>
                <w:sz w:val="18"/>
                <w:szCs w:val="18"/>
                <w:lang w:val="en-AU"/>
              </w:rPr>
              <w:t>and 2014</w:t>
            </w:r>
          </w:p>
        </w:tc>
      </w:tr>
      <w:tr w:rsidR="00004257" w:rsidRPr="0009212F" w:rsidTr="00A12070">
        <w:trPr>
          <w:trHeight w:val="255"/>
        </w:trPr>
        <w:tc>
          <w:tcPr>
            <w:tcW w:w="750"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vMerge/>
            <w:tcBorders>
              <w:left w:val="nil"/>
              <w:right w:val="nil"/>
            </w:tcBorders>
            <w:vAlign w:val="center"/>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050" w:type="dxa"/>
            <w:vMerge/>
            <w:tcBorders>
              <w:left w:val="nil"/>
              <w:right w:val="nil"/>
            </w:tcBorders>
            <w:vAlign w:val="center"/>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176" w:type="dxa"/>
            <w:vMerge/>
            <w:tcBorders>
              <w:left w:val="nil"/>
              <w:right w:val="nil"/>
            </w:tcBorders>
            <w:vAlign w:val="center"/>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196" w:type="dxa"/>
            <w:vMerge/>
            <w:tcBorders>
              <w:left w:val="nil"/>
              <w:right w:val="nil"/>
            </w:tcBorders>
            <w:vAlign w:val="center"/>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436" w:type="dxa"/>
            <w:vMerge/>
            <w:tcBorders>
              <w:left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384" w:type="dxa"/>
            <w:vMerge/>
            <w:tcBorders>
              <w:left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jc w:val="right"/>
              <w:rPr>
                <w:b/>
                <w:bCs/>
                <w:color w:val="404040" w:themeColor="text1" w:themeTint="BF"/>
                <w:sz w:val="18"/>
                <w:szCs w:val="18"/>
                <w:lang w:val="en-AU"/>
              </w:rPr>
            </w:pPr>
          </w:p>
        </w:tc>
      </w:tr>
      <w:tr w:rsidR="00004257" w:rsidRPr="0009212F" w:rsidTr="00A12070">
        <w:trPr>
          <w:trHeight w:val="255"/>
        </w:trPr>
        <w:tc>
          <w:tcPr>
            <w:tcW w:w="750"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vMerge/>
            <w:tcBorders>
              <w:left w:val="nil"/>
              <w:bottom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050" w:type="dxa"/>
            <w:vMerge/>
            <w:tcBorders>
              <w:left w:val="nil"/>
              <w:bottom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176" w:type="dxa"/>
            <w:vMerge/>
            <w:tcBorders>
              <w:left w:val="nil"/>
              <w:bottom w:val="nil"/>
              <w:right w:val="nil"/>
            </w:tcBorders>
            <w:shd w:val="clear" w:color="000000" w:fill="F2F2F2"/>
            <w:noWrap/>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196" w:type="dxa"/>
            <w:vMerge/>
            <w:tcBorders>
              <w:left w:val="nil"/>
              <w:bottom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436" w:type="dxa"/>
            <w:vMerge/>
            <w:tcBorders>
              <w:left w:val="nil"/>
              <w:bottom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384" w:type="dxa"/>
            <w:vMerge/>
            <w:tcBorders>
              <w:left w:val="nil"/>
              <w:bottom w:val="nil"/>
              <w:right w:val="nil"/>
            </w:tcBorders>
            <w:shd w:val="clear" w:color="auto" w:fill="auto"/>
            <w:noWrap/>
            <w:vAlign w:val="bottom"/>
            <w:hideMark/>
          </w:tcPr>
          <w:p w:rsidR="00004257" w:rsidRPr="0009212F" w:rsidRDefault="00004257" w:rsidP="00A12070">
            <w:pPr>
              <w:pStyle w:val="BodyCopy"/>
              <w:tabs>
                <w:tab w:val="left" w:pos="709"/>
              </w:tabs>
              <w:spacing w:before="40" w:after="40" w:line="160" w:lineRule="atLeast"/>
              <w:jc w:val="right"/>
              <w:rPr>
                <w:b/>
                <w:bCs/>
                <w:color w:val="404040" w:themeColor="text1" w:themeTint="BF"/>
                <w:sz w:val="18"/>
                <w:szCs w:val="18"/>
                <w:lang w:val="en-AU"/>
              </w:rPr>
            </w:pP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 </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p>
        </w:tc>
      </w:tr>
      <w:tr w:rsidR="0009212F" w:rsidRPr="0009212F" w:rsidTr="0009212F">
        <w:trPr>
          <w:trHeight w:val="255"/>
        </w:trPr>
        <w:tc>
          <w:tcPr>
            <w:tcW w:w="10978" w:type="dxa"/>
            <w:gridSpan w:val="9"/>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 xml:space="preserve">Statement of Comprehensive Income </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(Controlled Operations)</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Employee benefits expense</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A</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4,664</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5,024</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5,714</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360</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(690)</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Supplies and services</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1,B</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1,821</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2,932</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4,239</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1,111</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(1,307)</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Accommodation</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1,297</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1,810</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1,720</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513</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90</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Depreciation and Amortisation</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3,C</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50</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234</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198</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184</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36</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Grants and subsidies</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4,D</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33</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33</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22</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 expense</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350</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46</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43</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(304)</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cost of services</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8,182</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10,079</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11,925</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1,897</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(1,846)</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55"/>
        </w:trPr>
        <w:tc>
          <w:tcPr>
            <w:tcW w:w="130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Income</w:t>
            </w:r>
          </w:p>
        </w:tc>
        <w:tc>
          <w:tcPr>
            <w:tcW w:w="238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55"/>
        </w:trPr>
        <w:tc>
          <w:tcPr>
            <w:tcW w:w="1300"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Revenue</w:t>
            </w:r>
          </w:p>
        </w:tc>
        <w:tc>
          <w:tcPr>
            <w:tcW w:w="238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Sale of goods and services</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6,E</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435</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635</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4,045</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200</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(3,410)</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Revenue</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435</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635</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4,045</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200</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(3,410)</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510"/>
        </w:trPr>
        <w:tc>
          <w:tcPr>
            <w:tcW w:w="3686" w:type="dxa"/>
            <w:gridSpan w:val="3"/>
            <w:tcBorders>
              <w:top w:val="nil"/>
              <w:left w:val="nil"/>
              <w:bottom w:val="nil"/>
              <w:right w:val="nil"/>
            </w:tcBorders>
            <w:shd w:val="clear" w:color="auto" w:fill="auto"/>
            <w:vAlign w:val="bottom"/>
            <w:hideMark/>
          </w:tcPr>
          <w:p w:rsidR="0009212F" w:rsidRPr="0009212F" w:rsidRDefault="0009212F" w:rsidP="007D38A8">
            <w:pPr>
              <w:pStyle w:val="BodyCopy"/>
              <w:spacing w:before="40" w:after="40" w:line="160" w:lineRule="atLeast"/>
              <w:ind w:left="34" w:hanging="34"/>
              <w:rPr>
                <w:b/>
                <w:bCs/>
                <w:color w:val="404040" w:themeColor="text1" w:themeTint="BF"/>
                <w:sz w:val="18"/>
                <w:szCs w:val="18"/>
                <w:lang w:val="en-AU"/>
              </w:rPr>
            </w:pPr>
            <w:r w:rsidRPr="0009212F">
              <w:rPr>
                <w:b/>
                <w:bCs/>
                <w:color w:val="404040" w:themeColor="text1" w:themeTint="BF"/>
                <w:sz w:val="18"/>
                <w:szCs w:val="18"/>
                <w:lang w:val="en-AU"/>
              </w:rPr>
              <w:t>Total income other than income from State Government</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435</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635</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4,045</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200</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(3,410)</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NET COST OF SERVICES</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7,747</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9,444</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7,880</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1,697</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1,564</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Income from State Government</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Service appropriations</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7,F</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7,687</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8,715</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7,377</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1,028</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1,338</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Resources received free of charge</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8,G</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60</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86</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59</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26</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27</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income from State Government</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7,747</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8,801</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7,436</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1,054</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1,365</w:t>
            </w:r>
          </w:p>
        </w:tc>
      </w:tr>
      <w:tr w:rsidR="0009212F" w:rsidRPr="0009212F" w:rsidTr="0009212F">
        <w:trPr>
          <w:trHeight w:val="255"/>
        </w:trPr>
        <w:tc>
          <w:tcPr>
            <w:tcW w:w="368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SURPLUS/(DEFICIT) FOR THE PERIOD</w:t>
            </w: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w:t>
            </w: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(643)</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(444)</w:t>
            </w: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(643)</w:t>
            </w: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(199)</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8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050"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76"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119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3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38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0064" w:type="dxa"/>
        <w:tblInd w:w="-34" w:type="dxa"/>
        <w:tblLayout w:type="fixed"/>
        <w:tblLook w:val="04A0" w:firstRow="1" w:lastRow="0" w:firstColumn="1" w:lastColumn="0" w:noHBand="0" w:noVBand="1"/>
      </w:tblPr>
      <w:tblGrid>
        <w:gridCol w:w="142"/>
        <w:gridCol w:w="462"/>
        <w:gridCol w:w="20"/>
        <w:gridCol w:w="1503"/>
        <w:gridCol w:w="992"/>
        <w:gridCol w:w="142"/>
        <w:gridCol w:w="425"/>
        <w:gridCol w:w="1134"/>
        <w:gridCol w:w="226"/>
        <w:gridCol w:w="766"/>
        <w:gridCol w:w="851"/>
        <w:gridCol w:w="667"/>
        <w:gridCol w:w="183"/>
        <w:gridCol w:w="1276"/>
        <w:gridCol w:w="1275"/>
      </w:tblGrid>
      <w:tr w:rsidR="0009212F" w:rsidRPr="0009212F" w:rsidTr="00B10ADA">
        <w:trPr>
          <w:trHeight w:val="255"/>
        </w:trPr>
        <w:tc>
          <w:tcPr>
            <w:tcW w:w="10064" w:type="dxa"/>
            <w:gridSpan w:val="15"/>
            <w:tcBorders>
              <w:top w:val="nil"/>
              <w:left w:val="nil"/>
              <w:bottom w:val="nil"/>
              <w:right w:val="nil"/>
            </w:tcBorders>
            <w:shd w:val="clear" w:color="auto" w:fill="auto"/>
            <w:noWrap/>
            <w:vAlign w:val="bottom"/>
            <w:hideMark/>
          </w:tcPr>
          <w:p w:rsidR="0009212F" w:rsidRPr="0009212F" w:rsidRDefault="0009212F" w:rsidP="00004257">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004257" w:rsidRPr="0009212F" w:rsidTr="00B10ADA">
        <w:trPr>
          <w:trHeight w:val="428"/>
        </w:trPr>
        <w:tc>
          <w:tcPr>
            <w:tcW w:w="2127" w:type="dxa"/>
            <w:gridSpan w:val="4"/>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5" w:type="dxa"/>
            <w:tcBorders>
              <w:top w:val="nil"/>
              <w:left w:val="nil"/>
              <w:bottom w:val="nil"/>
              <w:right w:val="nil"/>
            </w:tcBorders>
            <w:shd w:val="clear" w:color="auto" w:fill="auto"/>
            <w:noWrap/>
            <w:vAlign w:val="bottom"/>
            <w:hideMark/>
          </w:tcPr>
          <w:p w:rsidR="00004257" w:rsidRPr="0009212F" w:rsidRDefault="00004257"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left w:val="nil"/>
              <w:bottom w:val="nil"/>
              <w:right w:val="nil"/>
            </w:tcBorders>
            <w:shd w:val="clear" w:color="auto" w:fill="auto"/>
            <w:noWrap/>
            <w:vAlign w:val="bottom"/>
            <w:hideMark/>
          </w:tcPr>
          <w:p w:rsidR="00004257" w:rsidRPr="0009212F" w:rsidRDefault="00E43876" w:rsidP="00A12070">
            <w:pPr>
              <w:pStyle w:val="BodyCopy"/>
              <w:spacing w:before="40" w:after="40" w:line="160" w:lineRule="atLeast"/>
              <w:ind w:left="34"/>
              <w:jc w:val="right"/>
              <w:rPr>
                <w:b/>
                <w:bCs/>
                <w:color w:val="404040" w:themeColor="text1" w:themeTint="BF"/>
                <w:sz w:val="18"/>
                <w:szCs w:val="18"/>
                <w:lang w:val="en-AU"/>
              </w:rPr>
            </w:pPr>
            <w:r>
              <w:rPr>
                <w:b/>
                <w:bCs/>
                <w:color w:val="404040" w:themeColor="text1" w:themeTint="BF"/>
                <w:sz w:val="18"/>
                <w:szCs w:val="18"/>
                <w:lang w:val="en-AU"/>
              </w:rPr>
              <w:t>Variance</w:t>
            </w:r>
            <w:r>
              <w:rPr>
                <w:b/>
                <w:bCs/>
                <w:color w:val="404040" w:themeColor="text1" w:themeTint="BF"/>
                <w:sz w:val="18"/>
                <w:szCs w:val="18"/>
                <w:lang w:val="en-AU"/>
              </w:rPr>
              <w:br/>
              <w:t>Note</w:t>
            </w:r>
          </w:p>
        </w:tc>
        <w:tc>
          <w:tcPr>
            <w:tcW w:w="992" w:type="dxa"/>
            <w:gridSpan w:val="2"/>
            <w:tcBorders>
              <w:left w:val="nil"/>
              <w:bottom w:val="nil"/>
              <w:right w:val="nil"/>
            </w:tcBorders>
            <w:shd w:val="clear" w:color="auto" w:fill="auto"/>
            <w:noWrap/>
            <w:vAlign w:val="bottom"/>
            <w:hideMark/>
          </w:tcPr>
          <w:p w:rsidR="00004257" w:rsidRPr="0009212F" w:rsidRDefault="00E43876" w:rsidP="00A12070">
            <w:pPr>
              <w:pStyle w:val="BodyCopy"/>
              <w:spacing w:before="40" w:after="40" w:line="160" w:lineRule="atLeast"/>
              <w:ind w:left="34" w:hanging="34"/>
              <w:jc w:val="right"/>
              <w:rPr>
                <w:b/>
                <w:bCs/>
                <w:color w:val="404040" w:themeColor="text1" w:themeTint="BF"/>
                <w:sz w:val="18"/>
                <w:szCs w:val="18"/>
                <w:lang w:val="en-AU"/>
              </w:rPr>
            </w:pPr>
            <w:r>
              <w:rPr>
                <w:b/>
                <w:bCs/>
                <w:color w:val="404040" w:themeColor="text1" w:themeTint="BF"/>
                <w:sz w:val="18"/>
                <w:szCs w:val="18"/>
                <w:lang w:val="en-AU"/>
              </w:rPr>
              <w:t>Estimate 2015</w:t>
            </w:r>
          </w:p>
        </w:tc>
        <w:tc>
          <w:tcPr>
            <w:tcW w:w="851" w:type="dxa"/>
            <w:tcBorders>
              <w:left w:val="nil"/>
              <w:bottom w:val="nil"/>
              <w:right w:val="nil"/>
            </w:tcBorders>
            <w:shd w:val="clear" w:color="000000" w:fill="F2F2F2"/>
            <w:noWrap/>
            <w:vAlign w:val="bottom"/>
            <w:hideMark/>
          </w:tcPr>
          <w:p w:rsidR="00004257" w:rsidRPr="0009212F" w:rsidRDefault="00E43876" w:rsidP="00A12070">
            <w:pPr>
              <w:pStyle w:val="BodyCopy"/>
              <w:spacing w:before="40" w:after="40" w:line="160" w:lineRule="atLeast"/>
              <w:jc w:val="right"/>
              <w:rPr>
                <w:b/>
                <w:bCs/>
                <w:color w:val="404040" w:themeColor="text1" w:themeTint="BF"/>
                <w:sz w:val="18"/>
                <w:szCs w:val="18"/>
                <w:lang w:val="en-AU"/>
              </w:rPr>
            </w:pPr>
            <w:r>
              <w:rPr>
                <w:b/>
                <w:bCs/>
                <w:color w:val="404040" w:themeColor="text1" w:themeTint="BF"/>
                <w:sz w:val="18"/>
                <w:szCs w:val="18"/>
                <w:lang w:val="en-AU"/>
              </w:rPr>
              <w:t>Actual</w:t>
            </w:r>
            <w:r>
              <w:rPr>
                <w:b/>
                <w:bCs/>
                <w:color w:val="404040" w:themeColor="text1" w:themeTint="BF"/>
                <w:sz w:val="18"/>
                <w:szCs w:val="18"/>
                <w:lang w:val="en-AU"/>
              </w:rPr>
              <w:br/>
              <w:t>2015</w:t>
            </w:r>
          </w:p>
        </w:tc>
        <w:tc>
          <w:tcPr>
            <w:tcW w:w="850" w:type="dxa"/>
            <w:gridSpan w:val="2"/>
            <w:tcBorders>
              <w:left w:val="nil"/>
              <w:bottom w:val="nil"/>
              <w:right w:val="nil"/>
            </w:tcBorders>
            <w:shd w:val="clear" w:color="auto" w:fill="auto"/>
            <w:noWrap/>
            <w:vAlign w:val="bottom"/>
            <w:hideMark/>
          </w:tcPr>
          <w:p w:rsidR="00004257" w:rsidRPr="0009212F" w:rsidRDefault="00E43876" w:rsidP="00A12070">
            <w:pPr>
              <w:pStyle w:val="BodyCopy"/>
              <w:spacing w:before="40" w:after="40" w:line="160" w:lineRule="atLeast"/>
              <w:jc w:val="right"/>
              <w:rPr>
                <w:b/>
                <w:bCs/>
                <w:color w:val="404040" w:themeColor="text1" w:themeTint="BF"/>
                <w:sz w:val="18"/>
                <w:szCs w:val="18"/>
                <w:lang w:val="en-AU"/>
              </w:rPr>
            </w:pPr>
            <w:r>
              <w:rPr>
                <w:b/>
                <w:bCs/>
                <w:color w:val="404040" w:themeColor="text1" w:themeTint="BF"/>
                <w:sz w:val="18"/>
                <w:szCs w:val="18"/>
                <w:lang w:val="en-AU"/>
              </w:rPr>
              <w:t>Actual</w:t>
            </w:r>
            <w:r>
              <w:rPr>
                <w:b/>
                <w:bCs/>
                <w:color w:val="404040" w:themeColor="text1" w:themeTint="BF"/>
                <w:sz w:val="18"/>
                <w:szCs w:val="18"/>
                <w:lang w:val="en-AU"/>
              </w:rPr>
              <w:br/>
              <w:t>2014</w:t>
            </w:r>
          </w:p>
        </w:tc>
        <w:tc>
          <w:tcPr>
            <w:tcW w:w="1276" w:type="dxa"/>
            <w:tcBorders>
              <w:left w:val="nil"/>
              <w:bottom w:val="nil"/>
              <w:right w:val="nil"/>
            </w:tcBorders>
            <w:shd w:val="clear" w:color="auto" w:fill="auto"/>
            <w:noWrap/>
            <w:vAlign w:val="bottom"/>
            <w:hideMark/>
          </w:tcPr>
          <w:p w:rsidR="00004257" w:rsidRPr="0009212F" w:rsidRDefault="00E43876" w:rsidP="00A12070">
            <w:pPr>
              <w:pStyle w:val="BodyCopy"/>
              <w:spacing w:before="40" w:after="40" w:line="160" w:lineRule="atLeast"/>
              <w:jc w:val="right"/>
              <w:rPr>
                <w:b/>
                <w:bCs/>
                <w:color w:val="404040" w:themeColor="text1" w:themeTint="BF"/>
                <w:sz w:val="18"/>
                <w:szCs w:val="18"/>
                <w:lang w:val="en-AU"/>
              </w:rPr>
            </w:pPr>
            <w:r>
              <w:rPr>
                <w:b/>
                <w:bCs/>
                <w:color w:val="404040" w:themeColor="text1" w:themeTint="BF"/>
                <w:sz w:val="18"/>
                <w:szCs w:val="18"/>
                <w:lang w:val="en-AU"/>
              </w:rPr>
              <w:t>Variance between estimate and actual</w:t>
            </w:r>
          </w:p>
        </w:tc>
        <w:tc>
          <w:tcPr>
            <w:tcW w:w="1275" w:type="dxa"/>
            <w:tcBorders>
              <w:left w:val="nil"/>
              <w:bottom w:val="nil"/>
              <w:right w:val="nil"/>
            </w:tcBorders>
            <w:shd w:val="clear" w:color="auto" w:fill="auto"/>
            <w:noWrap/>
            <w:vAlign w:val="bottom"/>
            <w:hideMark/>
          </w:tcPr>
          <w:p w:rsidR="00004257" w:rsidRPr="0009212F" w:rsidRDefault="00E43876" w:rsidP="00A12070">
            <w:pPr>
              <w:pStyle w:val="BodyCopy"/>
              <w:spacing w:before="40" w:after="40" w:line="160" w:lineRule="atLeast"/>
              <w:ind w:left="33"/>
              <w:jc w:val="right"/>
              <w:rPr>
                <w:b/>
                <w:bCs/>
                <w:color w:val="404040" w:themeColor="text1" w:themeTint="BF"/>
                <w:sz w:val="18"/>
                <w:szCs w:val="18"/>
                <w:lang w:val="en-AU"/>
              </w:rPr>
            </w:pPr>
            <w:r>
              <w:rPr>
                <w:b/>
                <w:bCs/>
                <w:color w:val="404040" w:themeColor="text1" w:themeTint="BF"/>
                <w:sz w:val="18"/>
                <w:szCs w:val="18"/>
                <w:lang w:val="en-AU"/>
              </w:rPr>
              <w:t>Variance between actual results for 2015 and 2014</w:t>
            </w:r>
          </w:p>
        </w:tc>
      </w:tr>
      <w:tr w:rsidR="0009212F" w:rsidRPr="0009212F" w:rsidTr="00B10ADA">
        <w:trPr>
          <w:trHeight w:val="255"/>
        </w:trPr>
        <w:tc>
          <w:tcPr>
            <w:tcW w:w="212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B10ADA">
        <w:trPr>
          <w:trHeight w:val="255"/>
        </w:trPr>
        <w:tc>
          <w:tcPr>
            <w:tcW w:w="212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Statement of Financial Position</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(Controlled Operations)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rPr>
          <w:trHeight w:val="255"/>
        </w:trPr>
        <w:tc>
          <w:tcPr>
            <w:tcW w:w="326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ASSSETS</w:t>
            </w:r>
          </w:p>
        </w:tc>
        <w:tc>
          <w:tcPr>
            <w:tcW w:w="42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Current Assets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Cash and cash equivalent</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H</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500</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457</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592</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(43)</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(135)</w:t>
            </w: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Restricted cash and cash equivalents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9,I</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151</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151</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151</w:t>
            </w:r>
          </w:p>
        </w:tc>
      </w:tr>
      <w:tr w:rsidR="0009212F" w:rsidRPr="0009212F" w:rsidTr="00B10ADA">
        <w:trPr>
          <w:trHeight w:val="255"/>
        </w:trPr>
        <w:tc>
          <w:tcPr>
            <w:tcW w:w="326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Receivables</w:t>
            </w:r>
          </w:p>
        </w:tc>
        <w:tc>
          <w:tcPr>
            <w:tcW w:w="42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10,J</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677</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168</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309</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(509)</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(141)</w:t>
            </w: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Amounts receivable for services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164</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117</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117</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(47)</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0</w:t>
            </w: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Current Assets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1,341</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893</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1,018</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(448)</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(125)</w:t>
            </w:r>
          </w:p>
        </w:tc>
      </w:tr>
      <w:tr w:rsidR="0009212F" w:rsidRPr="0009212F" w:rsidTr="00B10ADA">
        <w:trPr>
          <w:trHeight w:val="255"/>
        </w:trPr>
        <w:tc>
          <w:tcPr>
            <w:tcW w:w="212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Non-Current Assets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Restricted cash and cash equivalents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12,K</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100</w:t>
            </w:r>
          </w:p>
        </w:tc>
        <w:tc>
          <w:tcPr>
            <w:tcW w:w="851" w:type="dxa"/>
            <w:tcBorders>
              <w:top w:val="nil"/>
              <w:left w:val="nil"/>
              <w:bottom w:val="nil"/>
              <w:right w:val="nil"/>
            </w:tcBorders>
            <w:shd w:val="clear" w:color="000000" w:fill="EEECE1"/>
            <w:noWrap/>
            <w:vAlign w:val="bottom"/>
            <w:hideMark/>
          </w:tcPr>
          <w:p w:rsidR="0009212F" w:rsidRPr="0009212F" w:rsidRDefault="0009212F" w:rsidP="00A12070">
            <w:pPr>
              <w:pStyle w:val="BodyCopy"/>
              <w:tabs>
                <w:tab w:val="left" w:pos="709"/>
              </w:tabs>
              <w:spacing w:before="40" w:after="40" w:line="160" w:lineRule="atLeast"/>
              <w:jc w:val="right"/>
              <w:rPr>
                <w:color w:val="404040" w:themeColor="text1" w:themeTint="BF"/>
                <w:sz w:val="18"/>
                <w:szCs w:val="18"/>
                <w:lang w:val="en-AU"/>
              </w:rPr>
            </w:pPr>
            <w:r w:rsidRPr="0009212F">
              <w:rPr>
                <w:color w:val="404040" w:themeColor="text1" w:themeTint="BF"/>
                <w:sz w:val="18"/>
                <w:szCs w:val="18"/>
                <w:lang w:val="en-AU"/>
              </w:rPr>
              <w:t>-</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126</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(100)</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(126)</w:t>
            </w: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Amounts receivable for services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13,L</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444</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491</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558</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47</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(67)</w:t>
            </w: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Plant and equipment</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14,M</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79</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173</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199</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94</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(26)</w:t>
            </w: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Intangible assets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2267</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1,906</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2,014</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(361)</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(108)</w:t>
            </w: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Non-Current Assets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2,890</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2,570</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2,897</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(320)</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(327)</w:t>
            </w: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ASSETS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4,231</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3,463</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3,915</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(768)</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(452)</w:t>
            </w:r>
          </w:p>
        </w:tc>
      </w:tr>
      <w:tr w:rsidR="0009212F" w:rsidRPr="0009212F" w:rsidTr="00B10ADA">
        <w:trPr>
          <w:trHeight w:val="255"/>
        </w:trPr>
        <w:tc>
          <w:tcPr>
            <w:tcW w:w="212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LIABILITIES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Current Liabilities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rPr>
          <w:trHeight w:val="255"/>
        </w:trPr>
        <w:tc>
          <w:tcPr>
            <w:tcW w:w="326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Payables</w:t>
            </w:r>
          </w:p>
        </w:tc>
        <w:tc>
          <w:tcPr>
            <w:tcW w:w="42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16,N</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65</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479</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252</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414</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227</w:t>
            </w:r>
          </w:p>
        </w:tc>
      </w:tr>
      <w:tr w:rsidR="0009212F" w:rsidRPr="0009212F" w:rsidTr="00B10ADA">
        <w:trPr>
          <w:trHeight w:val="255"/>
        </w:trPr>
        <w:tc>
          <w:tcPr>
            <w:tcW w:w="3261"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Provisions</w:t>
            </w:r>
          </w:p>
        </w:tc>
        <w:tc>
          <w:tcPr>
            <w:tcW w:w="42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874</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814</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804</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(60)</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w:t>
            </w:r>
          </w:p>
        </w:tc>
      </w:tr>
      <w:tr w:rsidR="0009212F" w:rsidRPr="0009212F" w:rsidTr="00B10ADA">
        <w:trPr>
          <w:trHeight w:val="255"/>
        </w:trPr>
        <w:tc>
          <w:tcPr>
            <w:tcW w:w="212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w:t>
            </w:r>
          </w:p>
        </w:tc>
        <w:tc>
          <w:tcPr>
            <w:tcW w:w="1134"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25"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17</w:t>
            </w: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85</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(80)</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w:t>
            </w:r>
          </w:p>
        </w:tc>
      </w:tr>
      <w:tr w:rsidR="0009212F" w:rsidRPr="0009212F" w:rsidTr="00B10ADA">
        <w:trPr>
          <w:trHeight w:val="255"/>
        </w:trPr>
        <w:tc>
          <w:tcPr>
            <w:tcW w:w="3686" w:type="dxa"/>
            <w:gridSpan w:val="7"/>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Current Liabilities</w:t>
            </w:r>
          </w:p>
        </w:tc>
        <w:tc>
          <w:tcPr>
            <w:tcW w:w="1134"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1,024</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1,298</w:t>
            </w:r>
          </w:p>
        </w:tc>
        <w:tc>
          <w:tcPr>
            <w:tcW w:w="85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1,056</w:t>
            </w:r>
          </w:p>
        </w:tc>
        <w:tc>
          <w:tcPr>
            <w:tcW w:w="127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274</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242</w:t>
            </w:r>
          </w:p>
        </w:tc>
      </w:tr>
      <w:tr w:rsidR="0009212F" w:rsidRPr="0009212F" w:rsidTr="00B10ADA">
        <w:tblPrEx>
          <w:tblCellMar>
            <w:left w:w="0" w:type="dxa"/>
            <w:right w:w="0" w:type="dxa"/>
          </w:tblCellMar>
        </w:tblPrEx>
        <w:trPr>
          <w:gridBefore w:val="1"/>
          <w:wBefore w:w="142" w:type="dxa"/>
          <w:trHeight w:val="255"/>
        </w:trPr>
        <w:tc>
          <w:tcPr>
            <w:tcW w:w="354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Non-Current Liabilities</w:t>
            </w: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blPrEx>
          <w:tblCellMar>
            <w:left w:w="0" w:type="dxa"/>
            <w:right w:w="0" w:type="dxa"/>
          </w:tblCellMar>
        </w:tblPrEx>
        <w:trPr>
          <w:gridBefore w:val="1"/>
          <w:wBefore w:w="142" w:type="dxa"/>
          <w:trHeight w:val="255"/>
        </w:trPr>
        <w:tc>
          <w:tcPr>
            <w:tcW w:w="2977"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Provisions</w:t>
            </w:r>
          </w:p>
        </w:tc>
        <w:tc>
          <w:tcPr>
            <w:tcW w:w="567" w:type="dxa"/>
            <w:gridSpan w:val="2"/>
            <w:tcBorders>
              <w:top w:val="nil"/>
              <w:left w:val="nil"/>
              <w:bottom w:val="nil"/>
              <w:right w:val="nil"/>
            </w:tcBorders>
            <w:shd w:val="clear" w:color="auto" w:fill="auto"/>
            <w:noWrap/>
            <w:vAlign w:val="bottom"/>
            <w:hideMark/>
          </w:tcPr>
          <w:p w:rsidR="0009212F" w:rsidRPr="0009212F" w:rsidRDefault="0009212F" w:rsidP="00A14916">
            <w:pPr>
              <w:pStyle w:val="BodyCopy"/>
              <w:spacing w:before="40" w:after="40" w:line="160" w:lineRule="atLeast"/>
              <w:ind w:left="-462"/>
              <w:rPr>
                <w:color w:val="404040" w:themeColor="text1" w:themeTint="BF"/>
                <w:sz w:val="18"/>
                <w:szCs w:val="18"/>
                <w:lang w:val="en-AU"/>
              </w:rPr>
            </w:pP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18,O</w:t>
            </w: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234</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110</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161</w:t>
            </w: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(124)</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(51)</w:t>
            </w:r>
          </w:p>
        </w:tc>
      </w:tr>
      <w:tr w:rsidR="0009212F" w:rsidRPr="0009212F" w:rsidTr="00B10ADA">
        <w:tblPrEx>
          <w:tblCellMar>
            <w:left w:w="0" w:type="dxa"/>
            <w:right w:w="0" w:type="dxa"/>
          </w:tblCellMar>
        </w:tblPrEx>
        <w:trPr>
          <w:gridBefore w:val="1"/>
          <w:wBefore w:w="142" w:type="dxa"/>
          <w:trHeight w:val="255"/>
        </w:trPr>
        <w:tc>
          <w:tcPr>
            <w:tcW w:w="354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Non-Current Liabilities</w:t>
            </w: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234</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110</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161</w:t>
            </w: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(124)</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(51)</w:t>
            </w:r>
          </w:p>
        </w:tc>
      </w:tr>
      <w:tr w:rsidR="0009212F" w:rsidRPr="0009212F" w:rsidTr="00B10ADA">
        <w:tblPrEx>
          <w:tblCellMar>
            <w:left w:w="0" w:type="dxa"/>
            <w:right w:w="0" w:type="dxa"/>
          </w:tblCellMar>
        </w:tblPrEx>
        <w:trPr>
          <w:gridBefore w:val="1"/>
          <w:wBefore w:w="142" w:type="dxa"/>
          <w:trHeight w:val="255"/>
        </w:trPr>
        <w:tc>
          <w:tcPr>
            <w:tcW w:w="354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LIABILITIES</w:t>
            </w: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1,258</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1,408</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1,217</w:t>
            </w: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150</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191</w:t>
            </w:r>
          </w:p>
        </w:tc>
      </w:tr>
      <w:tr w:rsidR="0009212F" w:rsidRPr="0009212F" w:rsidTr="00B10ADA">
        <w:tblPrEx>
          <w:tblCellMar>
            <w:left w:w="0" w:type="dxa"/>
            <w:right w:w="0" w:type="dxa"/>
          </w:tblCellMar>
        </w:tblPrEx>
        <w:trPr>
          <w:gridBefore w:val="1"/>
          <w:wBefore w:w="142" w:type="dxa"/>
          <w:trHeight w:val="255"/>
        </w:trPr>
        <w:tc>
          <w:tcPr>
            <w:tcW w:w="46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062"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blPrEx>
          <w:tblCellMar>
            <w:left w:w="0" w:type="dxa"/>
            <w:right w:w="0" w:type="dxa"/>
          </w:tblCellMar>
        </w:tblPrEx>
        <w:trPr>
          <w:gridBefore w:val="1"/>
          <w:wBefore w:w="142" w:type="dxa"/>
          <w:trHeight w:val="255"/>
        </w:trPr>
        <w:tc>
          <w:tcPr>
            <w:tcW w:w="354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NET ASSETS</w:t>
            </w: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2,973</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2,055</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2,698</w:t>
            </w: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(918)</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(643)</w:t>
            </w:r>
          </w:p>
        </w:tc>
      </w:tr>
      <w:tr w:rsidR="0009212F" w:rsidRPr="0009212F" w:rsidTr="00B10ADA">
        <w:tblPrEx>
          <w:tblCellMar>
            <w:left w:w="0" w:type="dxa"/>
            <w:right w:w="0" w:type="dxa"/>
          </w:tblCellMar>
        </w:tblPrEx>
        <w:trPr>
          <w:gridBefore w:val="1"/>
          <w:wBefore w:w="142" w:type="dxa"/>
          <w:trHeight w:val="255"/>
        </w:trPr>
        <w:tc>
          <w:tcPr>
            <w:tcW w:w="46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062"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 </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blPrEx>
          <w:tblCellMar>
            <w:left w:w="0" w:type="dxa"/>
            <w:right w:w="0" w:type="dxa"/>
          </w:tblCellMar>
        </w:tblPrEx>
        <w:trPr>
          <w:gridBefore w:val="1"/>
          <w:wBefore w:w="142" w:type="dxa"/>
          <w:trHeight w:val="255"/>
        </w:trPr>
        <w:tc>
          <w:tcPr>
            <w:tcW w:w="46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EQUITY</w:t>
            </w:r>
          </w:p>
        </w:tc>
        <w:tc>
          <w:tcPr>
            <w:tcW w:w="3082" w:type="dxa"/>
            <w:gridSpan w:val="5"/>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09212F" w:rsidRPr="0009212F" w:rsidTr="00B10ADA">
        <w:tblPrEx>
          <w:tblCellMar>
            <w:left w:w="0" w:type="dxa"/>
            <w:right w:w="0" w:type="dxa"/>
          </w:tblCellMar>
        </w:tblPrEx>
        <w:trPr>
          <w:gridBefore w:val="1"/>
          <w:wBefore w:w="142" w:type="dxa"/>
          <w:trHeight w:val="255"/>
        </w:trPr>
        <w:tc>
          <w:tcPr>
            <w:tcW w:w="354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Contributed equity</w:t>
            </w: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19</w:t>
            </w: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876</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1,026</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1,026</w:t>
            </w: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150</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0</w:t>
            </w:r>
          </w:p>
        </w:tc>
      </w:tr>
      <w:tr w:rsidR="0009212F" w:rsidRPr="0009212F" w:rsidTr="00B10ADA">
        <w:tblPrEx>
          <w:tblCellMar>
            <w:left w:w="0" w:type="dxa"/>
            <w:right w:w="0" w:type="dxa"/>
          </w:tblCellMar>
        </w:tblPrEx>
        <w:trPr>
          <w:gridBefore w:val="1"/>
          <w:wBefore w:w="142" w:type="dxa"/>
          <w:trHeight w:val="255"/>
        </w:trPr>
        <w:tc>
          <w:tcPr>
            <w:tcW w:w="354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Accumulated surplus/(deficit)</w:t>
            </w: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20,P</w:t>
            </w: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2097</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1,029</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1,672</w:t>
            </w: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(1,068)</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(643)</w:t>
            </w:r>
          </w:p>
        </w:tc>
      </w:tr>
      <w:tr w:rsidR="0009212F" w:rsidRPr="0009212F" w:rsidTr="00B10ADA">
        <w:tblPrEx>
          <w:tblCellMar>
            <w:left w:w="0" w:type="dxa"/>
            <w:right w:w="0" w:type="dxa"/>
          </w:tblCellMar>
        </w:tblPrEx>
        <w:trPr>
          <w:gridBefore w:val="1"/>
          <w:wBefore w:w="142" w:type="dxa"/>
          <w:trHeight w:val="255"/>
        </w:trPr>
        <w:tc>
          <w:tcPr>
            <w:tcW w:w="3544"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TOTAL EQUITY</w:t>
            </w:r>
          </w:p>
        </w:tc>
        <w:tc>
          <w:tcPr>
            <w:tcW w:w="1360"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766"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2,973</w:t>
            </w:r>
          </w:p>
        </w:tc>
        <w:tc>
          <w:tcPr>
            <w:tcW w:w="851" w:type="dxa"/>
            <w:tcBorders>
              <w:top w:val="nil"/>
              <w:left w:val="nil"/>
              <w:bottom w:val="nil"/>
              <w:right w:val="nil"/>
            </w:tcBorders>
            <w:shd w:val="clear" w:color="000000" w:fill="F2F2F2"/>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2,055</w:t>
            </w:r>
          </w:p>
        </w:tc>
        <w:tc>
          <w:tcPr>
            <w:tcW w:w="667"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2,698</w:t>
            </w:r>
          </w:p>
        </w:tc>
        <w:tc>
          <w:tcPr>
            <w:tcW w:w="1459" w:type="dxa"/>
            <w:gridSpan w:val="2"/>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(918)</w:t>
            </w:r>
          </w:p>
        </w:tc>
        <w:tc>
          <w:tcPr>
            <w:tcW w:w="1275" w:type="dxa"/>
            <w:tcBorders>
              <w:top w:val="nil"/>
              <w:left w:val="nil"/>
              <w:bottom w:val="nil"/>
              <w:right w:val="nil"/>
            </w:tcBorders>
            <w:shd w:val="clear" w:color="auto" w:fill="auto"/>
            <w:noWrap/>
            <w:vAlign w:val="bottom"/>
            <w:hideMark/>
          </w:tcPr>
          <w:p w:rsidR="0009212F"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(643)</w:t>
            </w: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 </w:t>
      </w:r>
      <w:r w:rsidRPr="0009212F">
        <w:rPr>
          <w:color w:val="404040" w:themeColor="text1" w:themeTint="BF"/>
          <w:sz w:val="18"/>
          <w:szCs w:val="18"/>
          <w:lang w:val="en-AU"/>
        </w:rPr>
        <w:br w:type="page"/>
      </w:r>
    </w:p>
    <w:tbl>
      <w:tblPr>
        <w:tblW w:w="12632" w:type="dxa"/>
        <w:tblInd w:w="108" w:type="dxa"/>
        <w:tblLook w:val="04A0" w:firstRow="1" w:lastRow="0" w:firstColumn="1" w:lastColumn="0" w:noHBand="0" w:noVBand="1"/>
      </w:tblPr>
      <w:tblGrid>
        <w:gridCol w:w="593"/>
        <w:gridCol w:w="114"/>
        <w:gridCol w:w="10"/>
        <w:gridCol w:w="500"/>
        <w:gridCol w:w="2611"/>
        <w:gridCol w:w="741"/>
        <w:gridCol w:w="251"/>
        <w:gridCol w:w="756"/>
        <w:gridCol w:w="378"/>
        <w:gridCol w:w="658"/>
        <w:gridCol w:w="476"/>
        <w:gridCol w:w="700"/>
        <w:gridCol w:w="292"/>
        <w:gridCol w:w="904"/>
        <w:gridCol w:w="230"/>
        <w:gridCol w:w="1134"/>
        <w:gridCol w:w="72"/>
        <w:gridCol w:w="213"/>
        <w:gridCol w:w="282"/>
        <w:gridCol w:w="143"/>
        <w:gridCol w:w="450"/>
        <w:gridCol w:w="222"/>
        <w:gridCol w:w="222"/>
        <w:gridCol w:w="222"/>
        <w:gridCol w:w="222"/>
        <w:gridCol w:w="236"/>
      </w:tblGrid>
      <w:tr w:rsidR="00D462A7" w:rsidRPr="0009212F" w:rsidTr="007D38A8">
        <w:trPr>
          <w:gridAfter w:val="10"/>
          <w:wAfter w:w="2284" w:type="dxa"/>
          <w:trHeight w:val="255"/>
        </w:trPr>
        <w:tc>
          <w:tcPr>
            <w:tcW w:w="10348" w:type="dxa"/>
            <w:gridSpan w:val="16"/>
            <w:tcBorders>
              <w:top w:val="nil"/>
              <w:left w:val="nil"/>
              <w:bottom w:val="nil"/>
              <w:right w:val="nil"/>
            </w:tcBorders>
            <w:shd w:val="clear" w:color="auto" w:fill="auto"/>
            <w:noWrap/>
            <w:vAlign w:val="bottom"/>
            <w:hideMark/>
          </w:tcPr>
          <w:p w:rsidR="00A14916" w:rsidRPr="0009212F" w:rsidRDefault="0009212F"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B10ADA" w:rsidRPr="0009212F" w:rsidTr="007D38A8">
        <w:trPr>
          <w:gridAfter w:val="10"/>
          <w:wAfter w:w="2284" w:type="dxa"/>
          <w:trHeight w:val="255"/>
        </w:trPr>
        <w:tc>
          <w:tcPr>
            <w:tcW w:w="707" w:type="dxa"/>
            <w:gridSpan w:val="2"/>
            <w:tcBorders>
              <w:top w:val="nil"/>
              <w:left w:val="nil"/>
              <w:bottom w:val="nil"/>
              <w:right w:val="nil"/>
            </w:tcBorders>
            <w:shd w:val="clear" w:color="auto" w:fill="auto"/>
            <w:noWrap/>
            <w:vAlign w:val="bottom"/>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10" w:type="dxa"/>
            <w:gridSpan w:val="2"/>
            <w:tcBorders>
              <w:top w:val="nil"/>
              <w:left w:val="nil"/>
              <w:bottom w:val="nil"/>
              <w:right w:val="nil"/>
            </w:tcBorders>
            <w:shd w:val="clear" w:color="auto" w:fill="auto"/>
            <w:noWrap/>
            <w:vAlign w:val="bottom"/>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611" w:type="dxa"/>
            <w:tcBorders>
              <w:top w:val="nil"/>
              <w:left w:val="nil"/>
              <w:bottom w:val="nil"/>
              <w:right w:val="nil"/>
            </w:tcBorders>
            <w:shd w:val="clear" w:color="auto" w:fill="auto"/>
            <w:noWrap/>
            <w:vAlign w:val="bottom"/>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tcPr>
          <w:p w:rsidR="00B10ADA" w:rsidRPr="0009212F" w:rsidRDefault="00D462A7" w:rsidP="00A12070">
            <w:pPr>
              <w:pStyle w:val="BodyCopy"/>
              <w:spacing w:before="40" w:after="40" w:line="160" w:lineRule="atLeast"/>
              <w:jc w:val="right"/>
              <w:rPr>
                <w:b/>
                <w:bCs/>
                <w:color w:val="404040" w:themeColor="text1" w:themeTint="BF"/>
                <w:sz w:val="18"/>
                <w:szCs w:val="18"/>
                <w:lang w:val="en-AU"/>
              </w:rPr>
            </w:pPr>
            <w:r>
              <w:rPr>
                <w:b/>
                <w:bCs/>
                <w:color w:val="404040" w:themeColor="text1" w:themeTint="BF"/>
                <w:sz w:val="18"/>
                <w:szCs w:val="18"/>
                <w:lang w:val="en-AU"/>
              </w:rPr>
              <w:t>Variance Note</w:t>
            </w:r>
            <w:r>
              <w:rPr>
                <w:b/>
                <w:bCs/>
                <w:color w:val="404040" w:themeColor="text1" w:themeTint="BF"/>
                <w:sz w:val="18"/>
                <w:szCs w:val="18"/>
                <w:lang w:val="en-AU"/>
              </w:rPr>
              <w:br/>
            </w:r>
            <w:r w:rsidR="00B10ADA" w:rsidRPr="0009212F">
              <w:rPr>
                <w:b/>
                <w:bCs/>
                <w:color w:val="404040" w:themeColor="text1" w:themeTint="BF"/>
                <w:sz w:val="18"/>
                <w:szCs w:val="18"/>
                <w:lang w:val="en-AU"/>
              </w:rPr>
              <w:t>$000</w:t>
            </w:r>
          </w:p>
        </w:tc>
        <w:tc>
          <w:tcPr>
            <w:tcW w:w="1134" w:type="dxa"/>
            <w:gridSpan w:val="2"/>
            <w:tcBorders>
              <w:top w:val="nil"/>
              <w:left w:val="nil"/>
              <w:bottom w:val="nil"/>
              <w:right w:val="nil"/>
            </w:tcBorders>
            <w:shd w:val="clear" w:color="auto" w:fill="auto"/>
            <w:noWrap/>
            <w:vAlign w:val="bottom"/>
          </w:tcPr>
          <w:p w:rsidR="00B10ADA" w:rsidRPr="0009212F" w:rsidRDefault="00D462A7" w:rsidP="00A12070">
            <w:pPr>
              <w:pStyle w:val="BodyCopy"/>
              <w:spacing w:before="40" w:after="40" w:line="160" w:lineRule="atLeast"/>
              <w:jc w:val="right"/>
              <w:rPr>
                <w:b/>
                <w:bCs/>
                <w:color w:val="404040" w:themeColor="text1" w:themeTint="BF"/>
                <w:sz w:val="18"/>
                <w:szCs w:val="18"/>
                <w:lang w:val="en-AU"/>
              </w:rPr>
            </w:pPr>
            <w:r>
              <w:rPr>
                <w:b/>
                <w:bCs/>
                <w:color w:val="404040" w:themeColor="text1" w:themeTint="BF"/>
                <w:sz w:val="18"/>
                <w:szCs w:val="18"/>
                <w:lang w:val="en-AU"/>
              </w:rPr>
              <w:t>Estimate</w:t>
            </w:r>
            <w:r>
              <w:rPr>
                <w:b/>
                <w:bCs/>
                <w:color w:val="404040" w:themeColor="text1" w:themeTint="BF"/>
                <w:sz w:val="18"/>
                <w:szCs w:val="18"/>
                <w:lang w:val="en-AU"/>
              </w:rPr>
              <w:br/>
              <w:t>2015</w:t>
            </w:r>
            <w:r>
              <w:rPr>
                <w:b/>
                <w:bCs/>
                <w:color w:val="404040" w:themeColor="text1" w:themeTint="BF"/>
                <w:sz w:val="18"/>
                <w:szCs w:val="18"/>
                <w:lang w:val="en-AU"/>
              </w:rPr>
              <w:br/>
            </w:r>
            <w:r w:rsidR="00B10ADA" w:rsidRPr="0009212F">
              <w:rPr>
                <w:b/>
                <w:bCs/>
                <w:color w:val="404040" w:themeColor="text1" w:themeTint="BF"/>
                <w:sz w:val="18"/>
                <w:szCs w:val="18"/>
                <w:lang w:val="en-AU"/>
              </w:rPr>
              <w:t>$000</w:t>
            </w:r>
          </w:p>
        </w:tc>
        <w:tc>
          <w:tcPr>
            <w:tcW w:w="1134" w:type="dxa"/>
            <w:gridSpan w:val="2"/>
            <w:tcBorders>
              <w:top w:val="nil"/>
              <w:left w:val="nil"/>
              <w:bottom w:val="nil"/>
              <w:right w:val="nil"/>
            </w:tcBorders>
            <w:shd w:val="clear" w:color="000000" w:fill="F2F2F2"/>
            <w:noWrap/>
            <w:vAlign w:val="bottom"/>
          </w:tcPr>
          <w:p w:rsidR="00B10ADA" w:rsidRPr="0009212F" w:rsidRDefault="00D462A7" w:rsidP="00A12070">
            <w:pPr>
              <w:pStyle w:val="BodyCopy"/>
              <w:spacing w:before="40" w:after="40" w:line="160" w:lineRule="atLeast"/>
              <w:jc w:val="right"/>
              <w:rPr>
                <w:color w:val="404040" w:themeColor="text1" w:themeTint="BF"/>
                <w:sz w:val="18"/>
                <w:szCs w:val="18"/>
                <w:lang w:val="en-AU"/>
              </w:rPr>
            </w:pPr>
            <w:r>
              <w:rPr>
                <w:b/>
                <w:bCs/>
                <w:color w:val="404040" w:themeColor="text1" w:themeTint="BF"/>
                <w:sz w:val="18"/>
                <w:szCs w:val="18"/>
                <w:lang w:val="en-AU"/>
              </w:rPr>
              <w:t>Actual</w:t>
            </w:r>
            <w:r>
              <w:rPr>
                <w:b/>
                <w:bCs/>
                <w:color w:val="404040" w:themeColor="text1" w:themeTint="BF"/>
                <w:sz w:val="18"/>
                <w:szCs w:val="18"/>
                <w:lang w:val="en-AU"/>
              </w:rPr>
              <w:br/>
              <w:t>2015</w:t>
            </w:r>
            <w:r>
              <w:rPr>
                <w:b/>
                <w:bCs/>
                <w:color w:val="404040" w:themeColor="text1" w:themeTint="BF"/>
                <w:sz w:val="18"/>
                <w:szCs w:val="18"/>
                <w:lang w:val="en-AU"/>
              </w:rPr>
              <w:br/>
            </w:r>
            <w:r w:rsidR="00B10ADA" w:rsidRPr="0009212F">
              <w:rPr>
                <w:b/>
                <w:bCs/>
                <w:color w:val="404040" w:themeColor="text1" w:themeTint="BF"/>
                <w:sz w:val="18"/>
                <w:szCs w:val="18"/>
                <w:lang w:val="en-AU"/>
              </w:rPr>
              <w:t>$000</w:t>
            </w:r>
          </w:p>
        </w:tc>
        <w:tc>
          <w:tcPr>
            <w:tcW w:w="992" w:type="dxa"/>
            <w:gridSpan w:val="2"/>
            <w:tcBorders>
              <w:top w:val="nil"/>
              <w:left w:val="nil"/>
              <w:bottom w:val="nil"/>
              <w:right w:val="nil"/>
            </w:tcBorders>
            <w:shd w:val="clear" w:color="auto" w:fill="auto"/>
            <w:noWrap/>
            <w:vAlign w:val="bottom"/>
          </w:tcPr>
          <w:p w:rsidR="00B10ADA" w:rsidRPr="0009212F" w:rsidRDefault="00A12070" w:rsidP="00A12070">
            <w:pPr>
              <w:pStyle w:val="BodyCopy"/>
              <w:spacing w:before="40" w:after="40" w:line="160" w:lineRule="atLeast"/>
              <w:jc w:val="right"/>
              <w:rPr>
                <w:color w:val="404040" w:themeColor="text1" w:themeTint="BF"/>
                <w:sz w:val="18"/>
                <w:szCs w:val="18"/>
                <w:lang w:val="en-AU"/>
              </w:rPr>
            </w:pPr>
            <w:r>
              <w:rPr>
                <w:b/>
                <w:bCs/>
                <w:color w:val="404040" w:themeColor="text1" w:themeTint="BF"/>
                <w:sz w:val="18"/>
                <w:szCs w:val="18"/>
                <w:lang w:val="en-AU"/>
              </w:rPr>
              <w:t>Actual</w:t>
            </w:r>
            <w:r>
              <w:rPr>
                <w:b/>
                <w:bCs/>
                <w:color w:val="404040" w:themeColor="text1" w:themeTint="BF"/>
                <w:sz w:val="18"/>
                <w:szCs w:val="18"/>
                <w:lang w:val="en-AU"/>
              </w:rPr>
              <w:br/>
              <w:t>2014</w:t>
            </w:r>
            <w:r>
              <w:rPr>
                <w:b/>
                <w:bCs/>
                <w:color w:val="404040" w:themeColor="text1" w:themeTint="BF"/>
                <w:sz w:val="18"/>
                <w:szCs w:val="18"/>
                <w:lang w:val="en-AU"/>
              </w:rPr>
              <w:br/>
            </w:r>
            <w:r w:rsidR="00B10ADA" w:rsidRPr="0009212F">
              <w:rPr>
                <w:b/>
                <w:bCs/>
                <w:color w:val="404040" w:themeColor="text1" w:themeTint="BF"/>
                <w:sz w:val="18"/>
                <w:szCs w:val="18"/>
                <w:lang w:val="en-AU"/>
              </w:rPr>
              <w:t>$000</w:t>
            </w:r>
          </w:p>
        </w:tc>
        <w:tc>
          <w:tcPr>
            <w:tcW w:w="1134" w:type="dxa"/>
            <w:gridSpan w:val="2"/>
            <w:tcBorders>
              <w:top w:val="nil"/>
              <w:left w:val="nil"/>
              <w:bottom w:val="nil"/>
              <w:right w:val="nil"/>
            </w:tcBorders>
            <w:shd w:val="clear" w:color="auto" w:fill="auto"/>
            <w:noWrap/>
            <w:vAlign w:val="bottom"/>
          </w:tcPr>
          <w:p w:rsidR="00B10ADA" w:rsidRPr="0009212F" w:rsidRDefault="00A12070" w:rsidP="00A12070">
            <w:pPr>
              <w:pStyle w:val="BodyCopy"/>
              <w:spacing w:before="40" w:after="40" w:line="160" w:lineRule="atLeast"/>
              <w:jc w:val="right"/>
              <w:rPr>
                <w:b/>
                <w:bCs/>
                <w:color w:val="404040" w:themeColor="text1" w:themeTint="BF"/>
                <w:sz w:val="18"/>
                <w:szCs w:val="18"/>
                <w:lang w:val="en-AU"/>
              </w:rPr>
            </w:pPr>
            <w:r>
              <w:rPr>
                <w:b/>
                <w:bCs/>
                <w:color w:val="404040" w:themeColor="text1" w:themeTint="BF"/>
                <w:sz w:val="18"/>
                <w:szCs w:val="18"/>
                <w:lang w:val="en-AU"/>
              </w:rPr>
              <w:t>Variance between estimate and actual</w:t>
            </w:r>
            <w:r>
              <w:rPr>
                <w:b/>
                <w:bCs/>
                <w:color w:val="404040" w:themeColor="text1" w:themeTint="BF"/>
                <w:sz w:val="18"/>
                <w:szCs w:val="18"/>
                <w:lang w:val="en-AU"/>
              </w:rPr>
              <w:br/>
            </w:r>
            <w:r w:rsidR="00B10ADA" w:rsidRPr="0009212F">
              <w:rPr>
                <w:b/>
                <w:bCs/>
                <w:color w:val="404040" w:themeColor="text1" w:themeTint="BF"/>
                <w:sz w:val="18"/>
                <w:szCs w:val="18"/>
                <w:lang w:val="en-AU"/>
              </w:rPr>
              <w:t>$000</w:t>
            </w:r>
          </w:p>
        </w:tc>
        <w:tc>
          <w:tcPr>
            <w:tcW w:w="1134" w:type="dxa"/>
            <w:tcBorders>
              <w:top w:val="nil"/>
              <w:left w:val="nil"/>
              <w:bottom w:val="nil"/>
              <w:right w:val="nil"/>
            </w:tcBorders>
            <w:shd w:val="clear" w:color="auto" w:fill="auto"/>
            <w:noWrap/>
            <w:vAlign w:val="bottom"/>
          </w:tcPr>
          <w:p w:rsidR="00B10ADA" w:rsidRPr="0009212F" w:rsidRDefault="00A12070" w:rsidP="00A12070">
            <w:pPr>
              <w:pStyle w:val="BodyCopy"/>
              <w:spacing w:before="40" w:after="40" w:line="160" w:lineRule="atLeast"/>
              <w:ind w:left="34" w:hanging="34"/>
              <w:jc w:val="right"/>
              <w:rPr>
                <w:b/>
                <w:bCs/>
                <w:color w:val="404040" w:themeColor="text1" w:themeTint="BF"/>
                <w:sz w:val="18"/>
                <w:szCs w:val="18"/>
                <w:lang w:val="en-AU"/>
              </w:rPr>
            </w:pPr>
            <w:r>
              <w:rPr>
                <w:b/>
                <w:bCs/>
                <w:color w:val="404040" w:themeColor="text1" w:themeTint="BF"/>
                <w:sz w:val="18"/>
                <w:szCs w:val="18"/>
                <w:lang w:val="en-AU"/>
              </w:rPr>
              <w:t>Variance</w:t>
            </w:r>
            <w:r>
              <w:rPr>
                <w:b/>
                <w:bCs/>
                <w:color w:val="404040" w:themeColor="text1" w:themeTint="BF"/>
                <w:sz w:val="18"/>
                <w:szCs w:val="18"/>
                <w:lang w:val="en-AU"/>
              </w:rPr>
              <w:br/>
              <w:t>between actual results for 2015 and 2014</w:t>
            </w:r>
            <w:r>
              <w:rPr>
                <w:b/>
                <w:bCs/>
                <w:color w:val="404040" w:themeColor="text1" w:themeTint="BF"/>
                <w:sz w:val="18"/>
                <w:szCs w:val="18"/>
                <w:lang w:val="en-AU"/>
              </w:rPr>
              <w:br/>
            </w:r>
            <w:r w:rsidR="00B10ADA" w:rsidRPr="0009212F">
              <w:rPr>
                <w:b/>
                <w:bCs/>
                <w:color w:val="404040" w:themeColor="text1" w:themeTint="BF"/>
                <w:sz w:val="18"/>
                <w:szCs w:val="18"/>
                <w:lang w:val="en-AU"/>
              </w:rPr>
              <w:t>$000</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Statement of Cash Flows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(Controlled Operations)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A12070" w:rsidRPr="0009212F" w:rsidTr="007D38A8">
        <w:trPr>
          <w:gridAfter w:val="10"/>
          <w:wAfter w:w="2284" w:type="dxa"/>
          <w:trHeight w:val="579"/>
        </w:trPr>
        <w:tc>
          <w:tcPr>
            <w:tcW w:w="3828" w:type="dxa"/>
            <w:gridSpan w:val="5"/>
            <w:tcBorders>
              <w:top w:val="nil"/>
              <w:left w:val="nil"/>
              <w:bottom w:val="nil"/>
              <w:right w:val="nil"/>
            </w:tcBorders>
            <w:shd w:val="clear" w:color="auto" w:fill="auto"/>
            <w:noWrap/>
            <w:vAlign w:val="bottom"/>
            <w:hideMark/>
          </w:tcPr>
          <w:p w:rsidR="00B10ADA" w:rsidRPr="0009212F" w:rsidRDefault="00B10ADA" w:rsidP="00A14916">
            <w:pPr>
              <w:pStyle w:val="BodyCopy"/>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CASH FLOWS FROM STATE GOVERNMENT</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Service appropriation</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21,Q</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7,637</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8,665</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7,213</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1,028</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1,452</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Holding account drawdown</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R</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117</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117</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50</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jc w:val="right"/>
              <w:rPr>
                <w:color w:val="404040" w:themeColor="text1" w:themeTint="BF"/>
                <w:sz w:val="18"/>
                <w:szCs w:val="18"/>
                <w:lang w:val="en-AU"/>
              </w:rPr>
            </w:pPr>
            <w:r w:rsidRPr="0009212F">
              <w:rPr>
                <w:color w:val="404040" w:themeColor="text1" w:themeTint="BF"/>
                <w:sz w:val="18"/>
                <w:szCs w:val="18"/>
                <w:lang w:val="en-AU"/>
              </w:rPr>
              <w:t>-</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67</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A14916">
            <w:pPr>
              <w:pStyle w:val="BodyCopy"/>
              <w:spacing w:before="40" w:after="40" w:line="160" w:lineRule="atLeast"/>
              <w:ind w:left="34" w:hanging="34"/>
              <w:rPr>
                <w:b/>
                <w:bCs/>
                <w:color w:val="404040" w:themeColor="text1" w:themeTint="BF"/>
                <w:sz w:val="18"/>
                <w:szCs w:val="18"/>
                <w:lang w:val="en-AU"/>
              </w:rPr>
            </w:pPr>
            <w:r w:rsidRPr="0009212F">
              <w:rPr>
                <w:b/>
                <w:bCs/>
                <w:color w:val="404040" w:themeColor="text1" w:themeTint="BF"/>
                <w:sz w:val="18"/>
                <w:szCs w:val="18"/>
                <w:lang w:val="en-AU"/>
              </w:rPr>
              <w:t>Net cash provided by State Government</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7,754</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8,782</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7,263</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1,028</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1,519</w:t>
            </w:r>
          </w:p>
        </w:tc>
      </w:tr>
      <w:tr w:rsidR="00A12070" w:rsidRPr="0009212F" w:rsidTr="007D38A8">
        <w:trPr>
          <w:gridAfter w:val="10"/>
          <w:wAfter w:w="2284" w:type="dxa"/>
          <w:trHeight w:val="255"/>
        </w:trPr>
        <w:tc>
          <w:tcPr>
            <w:tcW w:w="707"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10"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611"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B10ADA">
            <w:pPr>
              <w:pStyle w:val="BodyCopy"/>
              <w:spacing w:before="40" w:after="40" w:line="160" w:lineRule="atLeast"/>
              <w:ind w:left="34"/>
              <w:rPr>
                <w:b/>
                <w:bCs/>
                <w:color w:val="404040" w:themeColor="text1" w:themeTint="BF"/>
                <w:sz w:val="18"/>
                <w:szCs w:val="18"/>
                <w:lang w:val="en-AU"/>
              </w:rPr>
            </w:pPr>
            <w:r w:rsidRPr="0009212F">
              <w:rPr>
                <w:b/>
                <w:bCs/>
                <w:color w:val="404040" w:themeColor="text1" w:themeTint="BF"/>
                <w:sz w:val="18"/>
                <w:szCs w:val="18"/>
                <w:lang w:val="en-AU"/>
              </w:rPr>
              <w:t>CASH FLOW FROM OPERTATING ACTIVITIES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255"/>
        </w:trPr>
        <w:tc>
          <w:tcPr>
            <w:tcW w:w="1217" w:type="dxa"/>
            <w:gridSpan w:val="4"/>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Payments</w:t>
            </w:r>
          </w:p>
        </w:tc>
        <w:tc>
          <w:tcPr>
            <w:tcW w:w="2611"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Employee benefits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S</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(4,664)</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(4,888)</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(5,830)</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(224)</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942</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Supplies and services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22,T</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(1,821)</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(2,676)</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(4,244)</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(855)</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1,568</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Accommodation</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23</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(1,247)</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(1,800)</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(1,697)</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(553)</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(103)</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Grants and subsidies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24,U</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xml:space="preserve">             - </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(33)</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(33)</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(22)</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GST Payment on purchases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25,V</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(599)</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(497)</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(599)</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(102)</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Other payments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26</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(900)</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(46)</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(43)</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854</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w:t>
            </w:r>
          </w:p>
        </w:tc>
      </w:tr>
      <w:tr w:rsidR="00A12070" w:rsidRPr="0009212F" w:rsidTr="007D38A8">
        <w:trPr>
          <w:gridAfter w:val="10"/>
          <w:wAfter w:w="2284" w:type="dxa"/>
          <w:trHeight w:val="255"/>
        </w:trPr>
        <w:tc>
          <w:tcPr>
            <w:tcW w:w="1217" w:type="dxa"/>
            <w:gridSpan w:val="4"/>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Receipts</w:t>
            </w:r>
          </w:p>
        </w:tc>
        <w:tc>
          <w:tcPr>
            <w:tcW w:w="2611"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Sale of goods and services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27,W</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995</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632</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4,092</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(363)</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(3,460)</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GST receipts on sales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28,X</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63</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412</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63</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(349)</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GST receipts from taxation authority</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29,Y</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555</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407</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555</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148</w:t>
            </w:r>
          </w:p>
        </w:tc>
      </w:tr>
      <w:tr w:rsidR="00A12070" w:rsidRPr="0009212F" w:rsidTr="007D38A8">
        <w:trPr>
          <w:gridAfter w:val="10"/>
          <w:wAfter w:w="2284" w:type="dxa"/>
          <w:trHeight w:val="540"/>
        </w:trPr>
        <w:tc>
          <w:tcPr>
            <w:tcW w:w="3828" w:type="dxa"/>
            <w:gridSpan w:val="5"/>
            <w:tcBorders>
              <w:top w:val="nil"/>
              <w:left w:val="nil"/>
              <w:bottom w:val="nil"/>
              <w:right w:val="nil"/>
            </w:tcBorders>
            <w:shd w:val="clear" w:color="auto" w:fill="auto"/>
            <w:vAlign w:val="bottom"/>
            <w:hideMark/>
          </w:tcPr>
          <w:p w:rsidR="00B10ADA" w:rsidRPr="0009212F" w:rsidRDefault="00B10ADA" w:rsidP="00A14916">
            <w:pPr>
              <w:pStyle w:val="BodyCopy"/>
              <w:spacing w:before="40" w:after="40" w:line="160" w:lineRule="atLeast"/>
              <w:ind w:left="34" w:hanging="34"/>
              <w:rPr>
                <w:b/>
                <w:bCs/>
                <w:color w:val="404040" w:themeColor="text1" w:themeTint="BF"/>
                <w:sz w:val="18"/>
                <w:szCs w:val="18"/>
                <w:lang w:val="en-AU"/>
              </w:rPr>
            </w:pPr>
            <w:r w:rsidRPr="0009212F">
              <w:rPr>
                <w:b/>
                <w:bCs/>
                <w:color w:val="404040" w:themeColor="text1" w:themeTint="BF"/>
                <w:sz w:val="18"/>
                <w:szCs w:val="18"/>
                <w:lang w:val="en-AU"/>
              </w:rPr>
              <w:t>Net cash provided by/(used in) operating activities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(7,637)</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(8,792)</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(7,411)</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(1,155)</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(1,381)</w:t>
            </w: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A14916">
            <w:pPr>
              <w:pStyle w:val="BodyCopy"/>
              <w:spacing w:before="40" w:after="40" w:line="160" w:lineRule="atLeast"/>
              <w:ind w:left="34"/>
              <w:rPr>
                <w:b/>
                <w:bCs/>
                <w:color w:val="404040" w:themeColor="text1" w:themeTint="BF"/>
                <w:sz w:val="18"/>
                <w:szCs w:val="18"/>
                <w:lang w:val="en-AU"/>
              </w:rPr>
            </w:pPr>
            <w:r>
              <w:rPr>
                <w:b/>
                <w:bCs/>
                <w:color w:val="404040" w:themeColor="text1" w:themeTint="BF"/>
                <w:sz w:val="18"/>
                <w:szCs w:val="18"/>
                <w:lang w:val="en-AU"/>
              </w:rPr>
              <w:t xml:space="preserve">CASH FLOW FROM INVESTING </w:t>
            </w:r>
            <w:r w:rsidRPr="0009212F">
              <w:rPr>
                <w:b/>
                <w:bCs/>
                <w:color w:val="404040" w:themeColor="text1" w:themeTint="BF"/>
                <w:sz w:val="18"/>
                <w:szCs w:val="18"/>
                <w:lang w:val="en-AU"/>
              </w:rPr>
              <w:t>ACTIVITIES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255"/>
        </w:trPr>
        <w:tc>
          <w:tcPr>
            <w:tcW w:w="1217" w:type="dxa"/>
            <w:gridSpan w:val="4"/>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Payments</w:t>
            </w:r>
          </w:p>
        </w:tc>
        <w:tc>
          <w:tcPr>
            <w:tcW w:w="2611"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Purchase of non-current assets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30,Z</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(117)</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(100)</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(232)</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17</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132</w:t>
            </w:r>
          </w:p>
        </w:tc>
      </w:tr>
      <w:tr w:rsidR="00A12070" w:rsidRPr="0009212F" w:rsidTr="007D38A8">
        <w:trPr>
          <w:gridAfter w:val="10"/>
          <w:wAfter w:w="2284" w:type="dxa"/>
          <w:trHeight w:val="525"/>
        </w:trPr>
        <w:tc>
          <w:tcPr>
            <w:tcW w:w="3828" w:type="dxa"/>
            <w:gridSpan w:val="5"/>
            <w:tcBorders>
              <w:top w:val="nil"/>
              <w:left w:val="nil"/>
              <w:bottom w:val="nil"/>
              <w:right w:val="nil"/>
            </w:tcBorders>
            <w:shd w:val="clear" w:color="auto" w:fill="auto"/>
            <w:vAlign w:val="bottom"/>
            <w:hideMark/>
          </w:tcPr>
          <w:p w:rsidR="00B10ADA" w:rsidRPr="0009212F" w:rsidRDefault="00B10ADA" w:rsidP="00A14916">
            <w:pPr>
              <w:pStyle w:val="BodyCopy"/>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Net cash provided by/(used in) investing activities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(117)</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(100)</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(232)</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17</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132</w:t>
            </w:r>
          </w:p>
        </w:tc>
      </w:tr>
      <w:tr w:rsidR="00A12070" w:rsidRPr="0009212F" w:rsidTr="007D38A8">
        <w:trPr>
          <w:gridAfter w:val="10"/>
          <w:wAfter w:w="2284" w:type="dxa"/>
          <w:trHeight w:val="255"/>
        </w:trPr>
        <w:tc>
          <w:tcPr>
            <w:tcW w:w="707"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10"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611"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A14916">
            <w:pPr>
              <w:pStyle w:val="BodyCopy"/>
              <w:spacing w:before="40" w:after="40" w:line="160" w:lineRule="atLeast"/>
              <w:ind w:left="34"/>
              <w:rPr>
                <w:b/>
                <w:bCs/>
                <w:color w:val="404040" w:themeColor="text1" w:themeTint="BF"/>
                <w:sz w:val="18"/>
                <w:szCs w:val="18"/>
                <w:lang w:val="en-AU"/>
              </w:rPr>
            </w:pPr>
            <w:r w:rsidRPr="0009212F">
              <w:rPr>
                <w:b/>
                <w:bCs/>
                <w:color w:val="404040" w:themeColor="text1" w:themeTint="BF"/>
                <w:sz w:val="18"/>
                <w:szCs w:val="18"/>
                <w:lang w:val="en-AU"/>
              </w:rPr>
              <w:t>CASH FLOW FROM FINANCING ACTIVITIES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255"/>
        </w:trPr>
        <w:tc>
          <w:tcPr>
            <w:tcW w:w="1217" w:type="dxa"/>
            <w:gridSpan w:val="4"/>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Payments</w:t>
            </w:r>
          </w:p>
        </w:tc>
        <w:tc>
          <w:tcPr>
            <w:tcW w:w="2611"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Repayment of borrowings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AA</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xml:space="preserve">             - </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xml:space="preserve">                -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(2,881)</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jc w:val="right"/>
              <w:rPr>
                <w:color w:val="404040" w:themeColor="text1" w:themeTint="BF"/>
                <w:sz w:val="18"/>
                <w:szCs w:val="18"/>
                <w:lang w:val="en-AU"/>
              </w:rPr>
            </w:pPr>
            <w:r>
              <w:rPr>
                <w:color w:val="404040" w:themeColor="text1" w:themeTint="BF"/>
                <w:sz w:val="18"/>
                <w:szCs w:val="18"/>
                <w:lang w:val="en-AU"/>
              </w:rPr>
              <w:t xml:space="preserve">        </w:t>
            </w:r>
            <w:r w:rsidRPr="0009212F">
              <w:rPr>
                <w:color w:val="404040" w:themeColor="text1" w:themeTint="BF"/>
                <w:sz w:val="18"/>
                <w:szCs w:val="18"/>
                <w:lang w:val="en-AU"/>
              </w:rPr>
              <w:t xml:space="preserve">    - </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2,881</w:t>
            </w:r>
          </w:p>
        </w:tc>
      </w:tr>
      <w:tr w:rsidR="00A12070" w:rsidRPr="0009212F" w:rsidTr="007D38A8">
        <w:trPr>
          <w:gridAfter w:val="10"/>
          <w:wAfter w:w="2284" w:type="dxa"/>
          <w:trHeight w:val="255"/>
        </w:trPr>
        <w:tc>
          <w:tcPr>
            <w:tcW w:w="707"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10"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611"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255"/>
        </w:trPr>
        <w:tc>
          <w:tcPr>
            <w:tcW w:w="1217" w:type="dxa"/>
            <w:gridSpan w:val="4"/>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Receipts</w:t>
            </w:r>
          </w:p>
        </w:tc>
        <w:tc>
          <w:tcPr>
            <w:tcW w:w="2611"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255"/>
        </w:trPr>
        <w:tc>
          <w:tcPr>
            <w:tcW w:w="3828" w:type="dxa"/>
            <w:gridSpan w:val="5"/>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i/>
                <w:color w:val="404040" w:themeColor="text1" w:themeTint="BF"/>
                <w:sz w:val="18"/>
                <w:szCs w:val="18"/>
                <w:lang w:val="en-AU"/>
              </w:rPr>
            </w:pPr>
            <w:r w:rsidRPr="0009212F">
              <w:rPr>
                <w:i/>
                <w:color w:val="404040" w:themeColor="text1" w:themeTint="BF"/>
                <w:sz w:val="18"/>
                <w:szCs w:val="18"/>
                <w:lang w:val="en-AU"/>
              </w:rPr>
              <w:t>Proceeds from borrowings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i/>
                <w:color w:val="404040" w:themeColor="text1" w:themeTint="BF"/>
                <w:sz w:val="18"/>
                <w:szCs w:val="18"/>
                <w:lang w:val="en-AU"/>
              </w:rPr>
            </w:pPr>
            <w:r w:rsidRPr="0009212F">
              <w:rPr>
                <w:i/>
                <w:color w:val="404040" w:themeColor="text1" w:themeTint="BF"/>
                <w:sz w:val="18"/>
                <w:szCs w:val="18"/>
                <w:lang w:val="en-AU"/>
              </w:rPr>
              <w:t>AB</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i/>
                <w:color w:val="404040" w:themeColor="text1" w:themeTint="BF"/>
                <w:sz w:val="18"/>
                <w:szCs w:val="18"/>
                <w:lang w:val="en-AU"/>
              </w:rPr>
            </w:pPr>
            <w:r w:rsidRPr="0009212F">
              <w:rPr>
                <w:i/>
                <w:color w:val="404040" w:themeColor="text1" w:themeTint="BF"/>
                <w:sz w:val="18"/>
                <w:szCs w:val="18"/>
                <w:lang w:val="en-AU"/>
              </w:rPr>
              <w:t xml:space="preserve">             - </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i/>
                <w:color w:val="404040" w:themeColor="text1" w:themeTint="BF"/>
                <w:sz w:val="18"/>
                <w:szCs w:val="18"/>
                <w:lang w:val="en-AU"/>
              </w:rPr>
            </w:pPr>
            <w:r w:rsidRPr="0009212F">
              <w:rPr>
                <w:i/>
                <w:color w:val="404040" w:themeColor="text1" w:themeTint="BF"/>
                <w:sz w:val="18"/>
                <w:szCs w:val="18"/>
                <w:lang w:val="en-AU"/>
              </w:rPr>
              <w:t xml:space="preserve">                -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i/>
                <w:color w:val="404040" w:themeColor="text1" w:themeTint="BF"/>
                <w:sz w:val="18"/>
                <w:szCs w:val="18"/>
                <w:lang w:val="en-AU"/>
              </w:rPr>
            </w:pPr>
            <w:r w:rsidRPr="0009212F">
              <w:rPr>
                <w:i/>
                <w:color w:val="404040" w:themeColor="text1" w:themeTint="BF"/>
                <w:sz w:val="18"/>
                <w:szCs w:val="18"/>
                <w:lang w:val="en-AU"/>
              </w:rPr>
              <w:t xml:space="preserve">2,700 </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jc w:val="right"/>
              <w:rPr>
                <w:i/>
                <w:color w:val="404040" w:themeColor="text1" w:themeTint="BF"/>
                <w:sz w:val="18"/>
                <w:szCs w:val="18"/>
                <w:lang w:val="en-AU"/>
              </w:rPr>
            </w:pPr>
            <w:r w:rsidRPr="0009212F">
              <w:rPr>
                <w:i/>
                <w:color w:val="404040" w:themeColor="text1" w:themeTint="BF"/>
                <w:sz w:val="18"/>
                <w:szCs w:val="18"/>
                <w:lang w:val="en-AU"/>
              </w:rPr>
              <w:t xml:space="preserve">     - </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i/>
                <w:color w:val="404040" w:themeColor="text1" w:themeTint="BF"/>
                <w:sz w:val="18"/>
                <w:szCs w:val="18"/>
                <w:lang w:val="en-AU"/>
              </w:rPr>
            </w:pPr>
            <w:r w:rsidRPr="0009212F">
              <w:rPr>
                <w:i/>
                <w:color w:val="404040" w:themeColor="text1" w:themeTint="BF"/>
                <w:sz w:val="18"/>
                <w:szCs w:val="18"/>
                <w:lang w:val="en-AU"/>
              </w:rPr>
              <w:t>(2,700)</w:t>
            </w:r>
          </w:p>
        </w:tc>
      </w:tr>
      <w:tr w:rsidR="00A12070" w:rsidRPr="0009212F" w:rsidTr="007D38A8">
        <w:trPr>
          <w:gridAfter w:val="10"/>
          <w:wAfter w:w="2284" w:type="dxa"/>
          <w:trHeight w:val="480"/>
        </w:trPr>
        <w:tc>
          <w:tcPr>
            <w:tcW w:w="3828" w:type="dxa"/>
            <w:gridSpan w:val="5"/>
            <w:tcBorders>
              <w:top w:val="nil"/>
              <w:left w:val="nil"/>
              <w:bottom w:val="nil"/>
              <w:right w:val="nil"/>
            </w:tcBorders>
            <w:shd w:val="clear" w:color="auto" w:fill="auto"/>
            <w:vAlign w:val="bottom"/>
            <w:hideMark/>
          </w:tcPr>
          <w:p w:rsidR="00B10ADA" w:rsidRPr="0009212F" w:rsidRDefault="00B10ADA" w:rsidP="00B10ADA">
            <w:pPr>
              <w:pStyle w:val="BodyCopy"/>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Net cash provided by/(used in) financing activities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 xml:space="preserve">             - </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 xml:space="preserve">                -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(181)</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jc w:val="right"/>
              <w:rPr>
                <w:b/>
                <w:bCs/>
                <w:color w:val="404040" w:themeColor="text1" w:themeTint="BF"/>
                <w:sz w:val="18"/>
                <w:szCs w:val="18"/>
                <w:lang w:val="en-AU"/>
              </w:rPr>
            </w:pPr>
            <w:r w:rsidRPr="0009212F">
              <w:rPr>
                <w:b/>
                <w:bCs/>
                <w:color w:val="404040" w:themeColor="text1" w:themeTint="BF"/>
                <w:sz w:val="18"/>
                <w:szCs w:val="18"/>
                <w:lang w:val="en-AU"/>
              </w:rPr>
              <w:t>-</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181</w:t>
            </w:r>
          </w:p>
        </w:tc>
      </w:tr>
      <w:tr w:rsidR="00A12070" w:rsidRPr="0009212F" w:rsidTr="007D38A8">
        <w:trPr>
          <w:gridAfter w:val="10"/>
          <w:wAfter w:w="2284" w:type="dxa"/>
          <w:trHeight w:val="255"/>
        </w:trPr>
        <w:tc>
          <w:tcPr>
            <w:tcW w:w="707"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510" w:type="dxa"/>
            <w:gridSpan w:val="2"/>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611" w:type="dxa"/>
            <w:tcBorders>
              <w:top w:val="nil"/>
              <w:left w:val="nil"/>
              <w:bottom w:val="nil"/>
              <w:right w:val="nil"/>
            </w:tcBorders>
            <w:shd w:val="clear" w:color="auto" w:fill="auto"/>
            <w:noWrap/>
            <w:vAlign w:val="bottom"/>
            <w:hideMark/>
          </w:tcPr>
          <w:p w:rsidR="00B10ADA" w:rsidRPr="0009212F" w:rsidRDefault="00B10ADA"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r>
      <w:tr w:rsidR="00A12070" w:rsidRPr="0009212F" w:rsidTr="007D38A8">
        <w:trPr>
          <w:gridAfter w:val="10"/>
          <w:wAfter w:w="2284" w:type="dxa"/>
          <w:trHeight w:val="495"/>
        </w:trPr>
        <w:tc>
          <w:tcPr>
            <w:tcW w:w="3828" w:type="dxa"/>
            <w:gridSpan w:val="5"/>
            <w:tcBorders>
              <w:top w:val="nil"/>
              <w:left w:val="nil"/>
              <w:bottom w:val="nil"/>
              <w:right w:val="nil"/>
            </w:tcBorders>
            <w:shd w:val="clear" w:color="auto" w:fill="auto"/>
            <w:vAlign w:val="bottom"/>
            <w:hideMark/>
          </w:tcPr>
          <w:p w:rsidR="00B10ADA" w:rsidRPr="0009212F" w:rsidRDefault="00B10ADA" w:rsidP="00B10ADA">
            <w:pPr>
              <w:pStyle w:val="BodyCopy"/>
              <w:spacing w:before="40" w:after="40" w:line="160" w:lineRule="atLeast"/>
              <w:ind w:left="34" w:hanging="34"/>
              <w:rPr>
                <w:color w:val="404040" w:themeColor="text1" w:themeTint="BF"/>
                <w:sz w:val="18"/>
                <w:szCs w:val="18"/>
                <w:lang w:val="en-AU"/>
              </w:rPr>
            </w:pPr>
            <w:r w:rsidRPr="0009212F">
              <w:rPr>
                <w:color w:val="404040" w:themeColor="text1" w:themeTint="BF"/>
                <w:sz w:val="18"/>
                <w:szCs w:val="18"/>
                <w:lang w:val="en-AU"/>
              </w:rPr>
              <w:t>Net increase/(decrease) in cash and cash equivalents</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xml:space="preserve">             - </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(110)</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(561)</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(110)</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451</w:t>
            </w:r>
          </w:p>
        </w:tc>
      </w:tr>
      <w:tr w:rsidR="00A12070" w:rsidRPr="0009212F" w:rsidTr="007D38A8">
        <w:trPr>
          <w:gridAfter w:val="10"/>
          <w:wAfter w:w="2284" w:type="dxa"/>
          <w:trHeight w:val="555"/>
        </w:trPr>
        <w:tc>
          <w:tcPr>
            <w:tcW w:w="3828" w:type="dxa"/>
            <w:gridSpan w:val="5"/>
            <w:tcBorders>
              <w:top w:val="nil"/>
              <w:left w:val="nil"/>
              <w:bottom w:val="nil"/>
              <w:right w:val="nil"/>
            </w:tcBorders>
            <w:shd w:val="clear" w:color="auto" w:fill="auto"/>
            <w:vAlign w:val="bottom"/>
            <w:hideMark/>
          </w:tcPr>
          <w:p w:rsidR="00B10ADA" w:rsidRPr="0009212F" w:rsidRDefault="00B10ADA" w:rsidP="00B10ADA">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Cash and cash equivalent at the beginning of the period</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600</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718</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 xml:space="preserve">1,279 </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118</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r w:rsidRPr="0009212F">
              <w:rPr>
                <w:color w:val="404040" w:themeColor="text1" w:themeTint="BF"/>
                <w:sz w:val="18"/>
                <w:szCs w:val="18"/>
                <w:lang w:val="en-AU"/>
              </w:rPr>
              <w:t>(561)</w:t>
            </w:r>
          </w:p>
        </w:tc>
      </w:tr>
      <w:tr w:rsidR="00A12070" w:rsidRPr="0009212F" w:rsidTr="007D38A8">
        <w:trPr>
          <w:gridAfter w:val="10"/>
          <w:wAfter w:w="2284" w:type="dxa"/>
          <w:trHeight w:val="480"/>
        </w:trPr>
        <w:tc>
          <w:tcPr>
            <w:tcW w:w="3828" w:type="dxa"/>
            <w:gridSpan w:val="5"/>
            <w:tcBorders>
              <w:top w:val="nil"/>
              <w:left w:val="nil"/>
              <w:bottom w:val="nil"/>
              <w:right w:val="nil"/>
            </w:tcBorders>
            <w:shd w:val="clear" w:color="auto" w:fill="auto"/>
            <w:vAlign w:val="bottom"/>
            <w:hideMark/>
          </w:tcPr>
          <w:p w:rsidR="00B10ADA" w:rsidRPr="0009212F" w:rsidRDefault="00B10ADA" w:rsidP="00B10ADA">
            <w:pPr>
              <w:pStyle w:val="BodyCopy"/>
              <w:spacing w:before="40" w:after="40" w:line="160" w:lineRule="atLeast"/>
              <w:rPr>
                <w:b/>
                <w:bCs/>
                <w:color w:val="404040" w:themeColor="text1" w:themeTint="BF"/>
                <w:sz w:val="18"/>
                <w:szCs w:val="18"/>
                <w:lang w:val="en-AU"/>
              </w:rPr>
            </w:pPr>
            <w:r w:rsidRPr="0009212F">
              <w:rPr>
                <w:b/>
                <w:bCs/>
                <w:color w:val="404040" w:themeColor="text1" w:themeTint="BF"/>
                <w:sz w:val="18"/>
                <w:szCs w:val="18"/>
                <w:lang w:val="en-AU"/>
              </w:rPr>
              <w:t>CASH AND CASH EQUIVALENT AT THE END OF THE PERIOD</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color w:val="404040" w:themeColor="text1" w:themeTint="BF"/>
                <w:sz w:val="18"/>
                <w:szCs w:val="18"/>
                <w:lang w:val="en-AU"/>
              </w:rPr>
            </w:pP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600</w:t>
            </w:r>
          </w:p>
        </w:tc>
        <w:tc>
          <w:tcPr>
            <w:tcW w:w="1134" w:type="dxa"/>
            <w:gridSpan w:val="2"/>
            <w:tcBorders>
              <w:top w:val="nil"/>
              <w:left w:val="nil"/>
              <w:bottom w:val="nil"/>
              <w:right w:val="nil"/>
            </w:tcBorders>
            <w:shd w:val="clear" w:color="000000" w:fill="F2F2F2"/>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608</w:t>
            </w:r>
          </w:p>
        </w:tc>
        <w:tc>
          <w:tcPr>
            <w:tcW w:w="992"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718</w:t>
            </w:r>
          </w:p>
        </w:tc>
        <w:tc>
          <w:tcPr>
            <w:tcW w:w="1134" w:type="dxa"/>
            <w:gridSpan w:val="2"/>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8</w:t>
            </w:r>
          </w:p>
        </w:tc>
        <w:tc>
          <w:tcPr>
            <w:tcW w:w="1134" w:type="dxa"/>
            <w:tcBorders>
              <w:top w:val="nil"/>
              <w:left w:val="nil"/>
              <w:bottom w:val="nil"/>
              <w:right w:val="nil"/>
            </w:tcBorders>
            <w:shd w:val="clear" w:color="auto" w:fill="auto"/>
            <w:noWrap/>
            <w:vAlign w:val="bottom"/>
            <w:hideMark/>
          </w:tcPr>
          <w:p w:rsidR="00B10ADA" w:rsidRPr="0009212F" w:rsidRDefault="00B10ADA" w:rsidP="00A12070">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t>(110)</w:t>
            </w:r>
          </w:p>
        </w:tc>
      </w:tr>
      <w:tr w:rsidR="0009212F" w:rsidRPr="0009212F" w:rsidTr="007D38A8">
        <w:trPr>
          <w:gridAfter w:val="7"/>
          <w:wAfter w:w="1717" w:type="dxa"/>
          <w:trHeight w:val="255"/>
        </w:trPr>
        <w:tc>
          <w:tcPr>
            <w:tcW w:w="5576" w:type="dxa"/>
            <w:gridSpan w:val="8"/>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lastRenderedPageBreak/>
              <w:t>Major Variance Narratives (Controlled Operations)</w:t>
            </w:r>
          </w:p>
        </w:tc>
        <w:tc>
          <w:tcPr>
            <w:tcW w:w="10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95"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7"/>
          <w:wAfter w:w="1717" w:type="dxa"/>
          <w:trHeight w:val="255"/>
        </w:trPr>
        <w:tc>
          <w:tcPr>
            <w:tcW w:w="4569" w:type="dxa"/>
            <w:gridSpan w:val="6"/>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Variances between estimate and actual</w:t>
            </w:r>
          </w:p>
        </w:tc>
        <w:tc>
          <w:tcPr>
            <w:tcW w:w="1007"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03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7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19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36"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495"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7"/>
          <w:wAfter w:w="1717" w:type="dxa"/>
          <w:trHeight w:val="780"/>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Supplies and services exceeded the estimates by $1.1 million due to changes in the Office of the Electoral Distribution Commissioners work program over it</w:t>
            </w:r>
            <w:r w:rsidR="007D38A8">
              <w:rPr>
                <w:color w:val="404040" w:themeColor="text1" w:themeTint="BF"/>
                <w:sz w:val="18"/>
                <w:szCs w:val="18"/>
                <w:lang w:val="en-AU"/>
              </w:rPr>
              <w:t xml:space="preserve">s 3 year cycle, the unexpected </w:t>
            </w:r>
            <w:r w:rsidRPr="0009212F">
              <w:rPr>
                <w:color w:val="404040" w:themeColor="text1" w:themeTint="BF"/>
                <w:sz w:val="18"/>
                <w:szCs w:val="18"/>
                <w:lang w:val="en-AU"/>
              </w:rPr>
              <w:t>Vasse By-Election and the unanticipated Local Government amalgamation polls.</w:t>
            </w:r>
          </w:p>
        </w:tc>
      </w:tr>
      <w:tr w:rsidR="0009212F" w:rsidRPr="0009212F" w:rsidTr="007D38A8">
        <w:trPr>
          <w:gridAfter w:val="7"/>
          <w:wAfter w:w="1717" w:type="dxa"/>
          <w:trHeight w:val="780"/>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Accommodation exceeded the estimates by $0.5 million due to a new agreement being achieved, resulting to an increase in the rental price. Also, the number of payments was underestimated. This is also due to the Vasse By-Election as a number of officers were required to travel and stayed on site when the election took place. </w:t>
            </w:r>
          </w:p>
        </w:tc>
      </w:tr>
      <w:tr w:rsidR="0009212F" w:rsidRPr="0009212F" w:rsidTr="007D38A8">
        <w:trPr>
          <w:gridAfter w:val="7"/>
          <w:wAfter w:w="1717" w:type="dxa"/>
          <w:trHeight w:val="540"/>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3)</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Depreciation exceeded the budget by $184k as the budget was based on holding account drawdown as per disbursement </w:t>
            </w:r>
            <w:proofErr w:type="gramStart"/>
            <w:r w:rsidRPr="0009212F">
              <w:rPr>
                <w:color w:val="404040" w:themeColor="text1" w:themeTint="BF"/>
                <w:sz w:val="18"/>
                <w:szCs w:val="18"/>
                <w:lang w:val="en-AU"/>
              </w:rPr>
              <w:t>profile,</w:t>
            </w:r>
            <w:proofErr w:type="gramEnd"/>
            <w:r w:rsidRPr="0009212F">
              <w:rPr>
                <w:color w:val="404040" w:themeColor="text1" w:themeTint="BF"/>
                <w:sz w:val="18"/>
                <w:szCs w:val="18"/>
                <w:lang w:val="en-AU"/>
              </w:rPr>
              <w:t xml:space="preserve"> meanwhile the actual depreciation is based on the number of the asset depreciated during the year.</w:t>
            </w:r>
          </w:p>
        </w:tc>
      </w:tr>
      <w:tr w:rsidR="0009212F" w:rsidRPr="0009212F" w:rsidTr="007D38A8">
        <w:trPr>
          <w:gridAfter w:val="7"/>
          <w:wAfter w:w="1717" w:type="dxa"/>
          <w:trHeight w:val="255"/>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proofErr w:type="gramStart"/>
            <w:r w:rsidRPr="0009212F">
              <w:rPr>
                <w:color w:val="404040" w:themeColor="text1" w:themeTint="BF"/>
                <w:sz w:val="18"/>
                <w:szCs w:val="18"/>
                <w:lang w:val="en-AU"/>
              </w:rPr>
              <w:t>Grants was</w:t>
            </w:r>
            <w:proofErr w:type="gramEnd"/>
            <w:r w:rsidRPr="0009212F">
              <w:rPr>
                <w:color w:val="404040" w:themeColor="text1" w:themeTint="BF"/>
                <w:sz w:val="18"/>
                <w:szCs w:val="18"/>
                <w:lang w:val="en-AU"/>
              </w:rPr>
              <w:t xml:space="preserve"> understated by $33k due to Vasse By-Election in 2015 which was not foreseen during the budget time. </w:t>
            </w:r>
          </w:p>
        </w:tc>
      </w:tr>
      <w:tr w:rsidR="0009212F" w:rsidRPr="0009212F" w:rsidTr="007D38A8">
        <w:trPr>
          <w:gridAfter w:val="7"/>
          <w:wAfter w:w="1717" w:type="dxa"/>
          <w:trHeight w:val="525"/>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Other expenses are understated by $0.3 million in comparison to the budget. This was due to the budget allocating amounts to Other expenses instead of Supplies and Services. </w:t>
            </w:r>
          </w:p>
        </w:tc>
      </w:tr>
      <w:tr w:rsidR="0009212F" w:rsidRPr="0009212F" w:rsidTr="007D38A8">
        <w:trPr>
          <w:gridAfter w:val="7"/>
          <w:wAfter w:w="1717" w:type="dxa"/>
          <w:trHeight w:val="555"/>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Sale of goods and services is understated by $0.2 million due to the local government amalgamation poll which occurred in 2015 and was not foreseen during the budget time.</w:t>
            </w:r>
          </w:p>
        </w:tc>
      </w:tr>
      <w:tr w:rsidR="0009212F" w:rsidRPr="0009212F" w:rsidTr="007D38A8">
        <w:trPr>
          <w:gridAfter w:val="7"/>
          <w:wAfter w:w="1717" w:type="dxa"/>
          <w:trHeight w:val="779"/>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7) </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appropriation exceeded the estimates by $1 million due to a fund transfer from forward estimates to current year for Office of the Electoral Distribution Commissioners of $0.8 million and also additional funding for Vasse By-Election of $0.2 million.  The change for the Office of the Electoral Distribution Commissioners was due to variations in their 3 year work cycle.</w:t>
            </w:r>
          </w:p>
        </w:tc>
      </w:tr>
      <w:tr w:rsidR="0009212F" w:rsidRPr="0009212F" w:rsidTr="007D38A8">
        <w:trPr>
          <w:gridAfter w:val="7"/>
          <w:wAfter w:w="1717" w:type="dxa"/>
          <w:trHeight w:val="555"/>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8)</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Resources received free of charge exceeded estimates by $26k due to the increase in services provided by Department of Attorney General and </w:t>
            </w:r>
            <w:proofErr w:type="spellStart"/>
            <w:r w:rsidRPr="0009212F">
              <w:rPr>
                <w:color w:val="404040" w:themeColor="text1" w:themeTint="BF"/>
                <w:sz w:val="18"/>
                <w:szCs w:val="18"/>
                <w:lang w:val="en-AU"/>
              </w:rPr>
              <w:t>Landgate</w:t>
            </w:r>
            <w:proofErr w:type="spellEnd"/>
            <w:r w:rsidRPr="0009212F">
              <w:rPr>
                <w:color w:val="404040" w:themeColor="text1" w:themeTint="BF"/>
                <w:sz w:val="18"/>
                <w:szCs w:val="18"/>
                <w:lang w:val="en-AU"/>
              </w:rPr>
              <w:t>.</w:t>
            </w:r>
          </w:p>
        </w:tc>
      </w:tr>
      <w:tr w:rsidR="0009212F" w:rsidRPr="0009212F" w:rsidTr="007D38A8">
        <w:trPr>
          <w:gridAfter w:val="7"/>
          <w:wAfter w:w="1717" w:type="dxa"/>
          <w:trHeight w:val="525"/>
        </w:trPr>
        <w:tc>
          <w:tcPr>
            <w:tcW w:w="593"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9)</w:t>
            </w:r>
          </w:p>
        </w:tc>
        <w:tc>
          <w:tcPr>
            <w:tcW w:w="10322" w:type="dxa"/>
            <w:gridSpan w:val="18"/>
            <w:tcBorders>
              <w:top w:val="nil"/>
              <w:left w:val="nil"/>
              <w:bottom w:val="nil"/>
              <w:right w:val="nil"/>
            </w:tcBorders>
            <w:shd w:val="clear" w:color="auto" w:fill="auto"/>
            <w:vAlign w:val="bottom"/>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Actual has exceeded the budge</w:t>
            </w:r>
            <w:r w:rsidR="007D38A8">
              <w:rPr>
                <w:color w:val="404040" w:themeColor="text1" w:themeTint="BF"/>
                <w:sz w:val="18"/>
                <w:szCs w:val="18"/>
                <w:lang w:val="en-AU"/>
              </w:rPr>
              <w:t xml:space="preserve">t by $0.1 million as no budget </w:t>
            </w:r>
            <w:r w:rsidRPr="0009212F">
              <w:rPr>
                <w:color w:val="404040" w:themeColor="text1" w:themeTint="BF"/>
                <w:sz w:val="18"/>
                <w:szCs w:val="18"/>
                <w:lang w:val="en-AU"/>
              </w:rPr>
              <w:t>was allocated to current restricted cash. These funds relate to the 27th pay which occurs in 2016.</w:t>
            </w:r>
          </w:p>
        </w:tc>
      </w:tr>
      <w:tr w:rsidR="0009212F" w:rsidRPr="0009212F" w:rsidTr="007D38A8">
        <w:trPr>
          <w:gridAfter w:val="7"/>
          <w:wAfter w:w="1717" w:type="dxa"/>
          <w:trHeight w:val="255"/>
        </w:trPr>
        <w:tc>
          <w:tcPr>
            <w:tcW w:w="593"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10)</w:t>
            </w:r>
          </w:p>
        </w:tc>
        <w:tc>
          <w:tcPr>
            <w:tcW w:w="10322" w:type="dxa"/>
            <w:gridSpan w:val="18"/>
            <w:tcBorders>
              <w:top w:val="nil"/>
              <w:left w:val="nil"/>
              <w:bottom w:val="nil"/>
              <w:right w:val="nil"/>
            </w:tcBorders>
            <w:shd w:val="clear" w:color="auto" w:fill="auto"/>
            <w:vAlign w:val="bottom"/>
            <w:hideMark/>
          </w:tcPr>
          <w:p w:rsidR="0009212F" w:rsidRPr="0009212F" w:rsidRDefault="007D38A8" w:rsidP="007D38A8">
            <w:pPr>
              <w:pStyle w:val="BodyCopy"/>
              <w:spacing w:before="40" w:after="40" w:line="160" w:lineRule="atLeast"/>
              <w:rPr>
                <w:color w:val="404040" w:themeColor="text1" w:themeTint="BF"/>
                <w:sz w:val="18"/>
                <w:szCs w:val="18"/>
                <w:lang w:val="en-AU"/>
              </w:rPr>
            </w:pPr>
            <w:r>
              <w:rPr>
                <w:color w:val="404040" w:themeColor="text1" w:themeTint="BF"/>
                <w:sz w:val="18"/>
                <w:szCs w:val="18"/>
                <w:lang w:val="en-AU"/>
              </w:rPr>
              <w:t xml:space="preserve">Receivables are </w:t>
            </w:r>
            <w:r w:rsidR="0009212F" w:rsidRPr="0009212F">
              <w:rPr>
                <w:color w:val="404040" w:themeColor="text1" w:themeTint="BF"/>
                <w:sz w:val="18"/>
                <w:szCs w:val="18"/>
                <w:lang w:val="en-AU"/>
              </w:rPr>
              <w:t xml:space="preserve">over </w:t>
            </w:r>
            <w:proofErr w:type="gramStart"/>
            <w:r w:rsidR="0009212F" w:rsidRPr="0009212F">
              <w:rPr>
                <w:color w:val="404040" w:themeColor="text1" w:themeTint="BF"/>
                <w:sz w:val="18"/>
                <w:szCs w:val="18"/>
                <w:lang w:val="en-AU"/>
              </w:rPr>
              <w:t>budget  by</w:t>
            </w:r>
            <w:proofErr w:type="gramEnd"/>
            <w:r w:rsidR="0009212F" w:rsidRPr="0009212F">
              <w:rPr>
                <w:color w:val="404040" w:themeColor="text1" w:themeTint="BF"/>
                <w:sz w:val="18"/>
                <w:szCs w:val="18"/>
                <w:lang w:val="en-AU"/>
              </w:rPr>
              <w:t xml:space="preserve"> $0.5 million due to an over estimation of number of anticipated recoupable elections.</w:t>
            </w:r>
          </w:p>
        </w:tc>
      </w:tr>
      <w:tr w:rsidR="0009212F" w:rsidRPr="0009212F" w:rsidTr="007D38A8">
        <w:trPr>
          <w:gridAfter w:val="7"/>
          <w:wAfter w:w="1717" w:type="dxa"/>
          <w:trHeight w:val="555"/>
        </w:trPr>
        <w:tc>
          <w:tcPr>
            <w:tcW w:w="593"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11)</w:t>
            </w:r>
          </w:p>
        </w:tc>
        <w:tc>
          <w:tcPr>
            <w:tcW w:w="10322" w:type="dxa"/>
            <w:gridSpan w:val="18"/>
            <w:tcBorders>
              <w:top w:val="nil"/>
              <w:left w:val="nil"/>
              <w:bottom w:val="nil"/>
              <w:right w:val="nil"/>
            </w:tcBorders>
            <w:shd w:val="clear" w:color="auto" w:fill="auto"/>
            <w:vAlign w:val="bottom"/>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Estimated current amounts receivable for services understated by $47k is due to the incorrect allocation between current asset and non-current asset in the budget.</w:t>
            </w:r>
          </w:p>
        </w:tc>
      </w:tr>
      <w:tr w:rsidR="0009212F" w:rsidRPr="0009212F" w:rsidTr="007D38A8">
        <w:trPr>
          <w:gridAfter w:val="7"/>
          <w:wAfter w:w="1717" w:type="dxa"/>
          <w:trHeight w:val="330"/>
        </w:trPr>
        <w:tc>
          <w:tcPr>
            <w:tcW w:w="593"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12)</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budget misallocated restricted cash to non-current instead of current. </w:t>
            </w:r>
          </w:p>
        </w:tc>
      </w:tr>
      <w:tr w:rsidR="0009212F" w:rsidRPr="0009212F" w:rsidTr="007D38A8">
        <w:trPr>
          <w:gridAfter w:val="7"/>
          <w:wAfter w:w="1717" w:type="dxa"/>
          <w:trHeight w:val="585"/>
        </w:trPr>
        <w:tc>
          <w:tcPr>
            <w:tcW w:w="593"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13)</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proofErr w:type="spellStart"/>
            <w:r w:rsidRPr="0009212F">
              <w:rPr>
                <w:color w:val="404040" w:themeColor="text1" w:themeTint="BF"/>
                <w:sz w:val="18"/>
                <w:szCs w:val="18"/>
                <w:lang w:val="en-AU"/>
              </w:rPr>
              <w:t>Non current</w:t>
            </w:r>
            <w:proofErr w:type="spellEnd"/>
            <w:r w:rsidRPr="0009212F">
              <w:rPr>
                <w:color w:val="404040" w:themeColor="text1" w:themeTint="BF"/>
                <w:sz w:val="18"/>
                <w:szCs w:val="18"/>
                <w:lang w:val="en-AU"/>
              </w:rPr>
              <w:t xml:space="preserve"> amounts receivable for services was overstated by $47k is due to the incorrect allocation between current asset and non-current asset in the budget.</w:t>
            </w:r>
          </w:p>
        </w:tc>
      </w:tr>
      <w:tr w:rsidR="0009212F" w:rsidRPr="0009212F" w:rsidTr="007D38A8">
        <w:trPr>
          <w:gridAfter w:val="7"/>
          <w:wAfter w:w="1717" w:type="dxa"/>
          <w:trHeight w:val="255"/>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14)</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Plant &amp; equipment actual exceeds budget by $94k due to unexpected expenditure for computer hardware.</w:t>
            </w:r>
          </w:p>
        </w:tc>
      </w:tr>
      <w:tr w:rsidR="0009212F" w:rsidRPr="0009212F" w:rsidTr="007D38A8">
        <w:trPr>
          <w:gridAfter w:val="7"/>
          <w:wAfter w:w="1717" w:type="dxa"/>
          <w:trHeight w:val="255"/>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15)</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Intangible asset is overstated by $0.3 million compared to the budget as the estimate was overstated.</w:t>
            </w:r>
          </w:p>
        </w:tc>
      </w:tr>
      <w:tr w:rsidR="0009212F" w:rsidRPr="0009212F" w:rsidTr="007D38A8">
        <w:trPr>
          <w:gridAfter w:val="7"/>
          <w:wAfter w:w="1717" w:type="dxa"/>
          <w:trHeight w:val="255"/>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16)</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Payables exceeded the budget by $0.4 million due to the change in the timing of actual payments to the ATO.</w:t>
            </w:r>
          </w:p>
        </w:tc>
      </w:tr>
      <w:tr w:rsidR="0009212F" w:rsidRPr="0009212F" w:rsidTr="007D38A8">
        <w:trPr>
          <w:gridAfter w:val="7"/>
          <w:wAfter w:w="1717" w:type="dxa"/>
          <w:trHeight w:val="255"/>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17)</w:t>
            </w:r>
          </w:p>
        </w:tc>
        <w:tc>
          <w:tcPr>
            <w:tcW w:w="9827" w:type="dxa"/>
            <w:gridSpan w:val="16"/>
            <w:tcBorders>
              <w:top w:val="nil"/>
              <w:left w:val="nil"/>
              <w:bottom w:val="nil"/>
              <w:right w:val="nil"/>
            </w:tcBorders>
            <w:shd w:val="clear" w:color="auto" w:fill="auto"/>
            <w:noWrap/>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Other current </w:t>
            </w:r>
            <w:proofErr w:type="gramStart"/>
            <w:r w:rsidRPr="0009212F">
              <w:rPr>
                <w:color w:val="404040" w:themeColor="text1" w:themeTint="BF"/>
                <w:sz w:val="18"/>
                <w:szCs w:val="18"/>
                <w:lang w:val="en-AU"/>
              </w:rPr>
              <w:t>liabilities is</w:t>
            </w:r>
            <w:proofErr w:type="gramEnd"/>
            <w:r w:rsidRPr="0009212F">
              <w:rPr>
                <w:color w:val="404040" w:themeColor="text1" w:themeTint="BF"/>
                <w:sz w:val="18"/>
                <w:szCs w:val="18"/>
                <w:lang w:val="en-AU"/>
              </w:rPr>
              <w:t xml:space="preserve"> overstated by $80k in the budget as this should have been allocated to payables.</w:t>
            </w:r>
          </w:p>
        </w:tc>
        <w:tc>
          <w:tcPr>
            <w:tcW w:w="495" w:type="dxa"/>
            <w:gridSpan w:val="2"/>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7"/>
          <w:wAfter w:w="1717" w:type="dxa"/>
          <w:trHeight w:val="570"/>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18)</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Provisions are understated by $0.1 million compared to budget figures due to the introduction of management initiatives to achieve the leave liability cap. </w:t>
            </w:r>
          </w:p>
        </w:tc>
      </w:tr>
      <w:tr w:rsidR="0009212F" w:rsidRPr="0009212F" w:rsidTr="007D38A8">
        <w:trPr>
          <w:gridAfter w:val="7"/>
          <w:wAfter w:w="1717" w:type="dxa"/>
          <w:trHeight w:val="525"/>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19)</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Budget for contributed equity has been understated due to the original allocation of the Contributed equity in the Treasury systems.</w:t>
            </w:r>
          </w:p>
        </w:tc>
      </w:tr>
      <w:tr w:rsidR="0009212F" w:rsidRPr="0009212F" w:rsidTr="007D38A8">
        <w:trPr>
          <w:gridAfter w:val="7"/>
          <w:wAfter w:w="1717" w:type="dxa"/>
          <w:trHeight w:val="810"/>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20)</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Accumulated surplus has been overstated due to the flow on effect between the budgeted Comprehensive Income Statement and the Financial Position in the Treasury systems. The Accumulated surplus balance is effected by the surplus</w:t>
            </w:r>
            <w:proofErr w:type="gramStart"/>
            <w:r w:rsidRPr="0009212F">
              <w:rPr>
                <w:color w:val="404040" w:themeColor="text1" w:themeTint="BF"/>
                <w:sz w:val="18"/>
                <w:szCs w:val="18"/>
                <w:lang w:val="en-AU"/>
              </w:rPr>
              <w:t>/(</w:t>
            </w:r>
            <w:proofErr w:type="gramEnd"/>
            <w:r w:rsidRPr="0009212F">
              <w:rPr>
                <w:color w:val="404040" w:themeColor="text1" w:themeTint="BF"/>
                <w:sz w:val="18"/>
                <w:szCs w:val="18"/>
                <w:lang w:val="en-AU"/>
              </w:rPr>
              <w:t xml:space="preserve">deficit) in the Comprehensive Income Statement. </w:t>
            </w:r>
          </w:p>
        </w:tc>
      </w:tr>
      <w:tr w:rsidR="0009212F" w:rsidRPr="0009212F" w:rsidTr="007D38A8">
        <w:trPr>
          <w:gridAfter w:val="7"/>
          <w:wAfter w:w="1717" w:type="dxa"/>
          <w:trHeight w:val="916"/>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21)</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appropriation has exceeded the estimates by $1.028 million due to the fund transfer from forward estimates to current year for Office of the Electoral Distribution Commissioners of $0.8 million and also additional funding for Vasse By-Election of $0.2 million. The change for the Office of the Electoral Distribution Commissioners was due to variations in their 3 year work cycle.</w:t>
            </w:r>
          </w:p>
        </w:tc>
      </w:tr>
      <w:tr w:rsidR="0009212F" w:rsidRPr="0009212F" w:rsidTr="007D38A8">
        <w:trPr>
          <w:gridAfter w:val="7"/>
          <w:wAfter w:w="1717" w:type="dxa"/>
          <w:trHeight w:val="795"/>
        </w:trPr>
        <w:tc>
          <w:tcPr>
            <w:tcW w:w="593" w:type="dxa"/>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22)</w:t>
            </w:r>
          </w:p>
        </w:tc>
        <w:tc>
          <w:tcPr>
            <w:tcW w:w="10322" w:type="dxa"/>
            <w:gridSpan w:val="18"/>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Payment for supplies and services exceeded the estimates by $0.7 million due to workload variations over the 3 year cycle for the Office of the Electoral Distribution </w:t>
            </w:r>
            <w:proofErr w:type="gramStart"/>
            <w:r w:rsidRPr="0009212F">
              <w:rPr>
                <w:color w:val="404040" w:themeColor="text1" w:themeTint="BF"/>
                <w:sz w:val="18"/>
                <w:szCs w:val="18"/>
                <w:lang w:val="en-AU"/>
              </w:rPr>
              <w:t>Commissioners,</w:t>
            </w:r>
            <w:proofErr w:type="gramEnd"/>
            <w:r w:rsidRPr="0009212F">
              <w:rPr>
                <w:color w:val="404040" w:themeColor="text1" w:themeTint="BF"/>
                <w:sz w:val="18"/>
                <w:szCs w:val="18"/>
                <w:lang w:val="en-AU"/>
              </w:rPr>
              <w:t xml:space="preserve"> together with the unexpected Vasse By-Election and Local Government amalgamation polls which Commission has no control.</w:t>
            </w:r>
          </w:p>
        </w:tc>
      </w:tr>
      <w:tr w:rsidR="0009212F" w:rsidRPr="0009212F" w:rsidTr="007D38A8">
        <w:trPr>
          <w:gridAfter w:val="8"/>
          <w:wAfter w:w="1999" w:type="dxa"/>
          <w:trHeight w:val="825"/>
        </w:trPr>
        <w:tc>
          <w:tcPr>
            <w:tcW w:w="717" w:type="dxa"/>
            <w:gridSpan w:val="3"/>
            <w:tcBorders>
              <w:top w:val="nil"/>
              <w:left w:val="nil"/>
              <w:bottom w:val="nil"/>
              <w:right w:val="nil"/>
            </w:tcBorders>
            <w:shd w:val="clear" w:color="auto" w:fill="auto"/>
            <w:noWrap/>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23)</w:t>
            </w:r>
          </w:p>
        </w:tc>
        <w:tc>
          <w:tcPr>
            <w:tcW w:w="9916" w:type="dxa"/>
            <w:gridSpan w:val="15"/>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Payment for accommodation exceeded the estimates by $0.5 million due to a new agreement being implemented, resulting in an increase in the rental price. Also, the number of payments in the budget was underestimated. This is also due to the Vasse By-Election as a number of officers were required to travel and stayed on site when the election took place. </w:t>
            </w:r>
          </w:p>
        </w:tc>
      </w:tr>
      <w:tr w:rsidR="0009212F" w:rsidRPr="0009212F" w:rsidTr="007D38A8">
        <w:trPr>
          <w:gridAfter w:val="8"/>
          <w:wAfter w:w="1999" w:type="dxa"/>
          <w:trHeight w:val="330"/>
        </w:trPr>
        <w:tc>
          <w:tcPr>
            <w:tcW w:w="717" w:type="dxa"/>
            <w:gridSpan w:val="3"/>
            <w:tcBorders>
              <w:top w:val="nil"/>
              <w:left w:val="nil"/>
              <w:bottom w:val="nil"/>
              <w:right w:val="nil"/>
            </w:tcBorders>
            <w:shd w:val="clear" w:color="auto" w:fill="auto"/>
            <w:noWrap/>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24)</w:t>
            </w:r>
          </w:p>
        </w:tc>
        <w:tc>
          <w:tcPr>
            <w:tcW w:w="9916" w:type="dxa"/>
            <w:gridSpan w:val="15"/>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Grants are understated by $33k due to Vasse By-Election in 2015 which was not foreseen during the budget time. </w:t>
            </w:r>
          </w:p>
        </w:tc>
      </w:tr>
      <w:tr w:rsidR="0009212F" w:rsidRPr="0009212F" w:rsidTr="007D38A8">
        <w:trPr>
          <w:gridAfter w:val="8"/>
          <w:wAfter w:w="1999" w:type="dxa"/>
          <w:trHeight w:val="255"/>
        </w:trPr>
        <w:tc>
          <w:tcPr>
            <w:tcW w:w="717" w:type="dxa"/>
            <w:gridSpan w:val="3"/>
            <w:tcBorders>
              <w:top w:val="nil"/>
              <w:left w:val="nil"/>
              <w:bottom w:val="nil"/>
              <w:right w:val="nil"/>
            </w:tcBorders>
            <w:shd w:val="clear" w:color="auto" w:fill="auto"/>
            <w:noWrap/>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25)</w:t>
            </w:r>
          </w:p>
        </w:tc>
        <w:tc>
          <w:tcPr>
            <w:tcW w:w="9916" w:type="dxa"/>
            <w:gridSpan w:val="15"/>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There was no budget allocated for GST payment on purchases in the budget.</w:t>
            </w:r>
          </w:p>
        </w:tc>
      </w:tr>
      <w:tr w:rsidR="0009212F" w:rsidRPr="0009212F" w:rsidTr="007D38A8">
        <w:trPr>
          <w:gridAfter w:val="8"/>
          <w:wAfter w:w="1999" w:type="dxa"/>
          <w:trHeight w:val="510"/>
        </w:trPr>
        <w:tc>
          <w:tcPr>
            <w:tcW w:w="717" w:type="dxa"/>
            <w:gridSpan w:val="3"/>
            <w:tcBorders>
              <w:top w:val="nil"/>
              <w:left w:val="nil"/>
              <w:bottom w:val="nil"/>
              <w:right w:val="nil"/>
            </w:tcBorders>
            <w:shd w:val="clear" w:color="auto" w:fill="auto"/>
            <w:noWrap/>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26)</w:t>
            </w:r>
          </w:p>
        </w:tc>
        <w:tc>
          <w:tcPr>
            <w:tcW w:w="9916" w:type="dxa"/>
            <w:gridSpan w:val="15"/>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Other expenses are understated by $0.8 million in comparison to the budget. This was due to the budget allocating amounts to Other expenses instead of Supplies and Services. </w:t>
            </w:r>
          </w:p>
        </w:tc>
      </w:tr>
      <w:tr w:rsidR="0009212F" w:rsidRPr="0009212F" w:rsidTr="007D38A8">
        <w:trPr>
          <w:gridAfter w:val="8"/>
          <w:wAfter w:w="1999" w:type="dxa"/>
          <w:trHeight w:val="510"/>
        </w:trPr>
        <w:tc>
          <w:tcPr>
            <w:tcW w:w="717" w:type="dxa"/>
            <w:gridSpan w:val="3"/>
            <w:tcBorders>
              <w:top w:val="nil"/>
              <w:left w:val="nil"/>
              <w:bottom w:val="nil"/>
              <w:right w:val="nil"/>
            </w:tcBorders>
            <w:shd w:val="clear" w:color="auto" w:fill="auto"/>
            <w:noWrap/>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lastRenderedPageBreak/>
              <w:t>27)</w:t>
            </w:r>
          </w:p>
        </w:tc>
        <w:tc>
          <w:tcPr>
            <w:tcW w:w="9916" w:type="dxa"/>
            <w:gridSpan w:val="15"/>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estimated sale of good</w:t>
            </w:r>
            <w:r w:rsidR="00B40057">
              <w:rPr>
                <w:color w:val="404040" w:themeColor="text1" w:themeTint="BF"/>
                <w:sz w:val="18"/>
                <w:szCs w:val="18"/>
                <w:lang w:val="en-AU"/>
              </w:rPr>
              <w:t xml:space="preserve">s and services exceeded actual </w:t>
            </w:r>
            <w:r w:rsidRPr="0009212F">
              <w:rPr>
                <w:color w:val="404040" w:themeColor="text1" w:themeTint="BF"/>
                <w:sz w:val="18"/>
                <w:szCs w:val="18"/>
                <w:lang w:val="en-AU"/>
              </w:rPr>
              <w:t xml:space="preserve">by $0.3 million due to the over anticipation of the number </w:t>
            </w:r>
            <w:proofErr w:type="gramStart"/>
            <w:r w:rsidRPr="0009212F">
              <w:rPr>
                <w:color w:val="404040" w:themeColor="text1" w:themeTint="BF"/>
                <w:sz w:val="18"/>
                <w:szCs w:val="18"/>
                <w:lang w:val="en-AU"/>
              </w:rPr>
              <w:t>of  extraordinary</w:t>
            </w:r>
            <w:proofErr w:type="gramEnd"/>
            <w:r w:rsidRPr="0009212F">
              <w:rPr>
                <w:color w:val="404040" w:themeColor="text1" w:themeTint="BF"/>
                <w:sz w:val="18"/>
                <w:szCs w:val="18"/>
                <w:lang w:val="en-AU"/>
              </w:rPr>
              <w:t xml:space="preserve"> elections in 2015.</w:t>
            </w:r>
          </w:p>
        </w:tc>
      </w:tr>
      <w:tr w:rsidR="0009212F" w:rsidRPr="0009212F" w:rsidTr="007D38A8">
        <w:trPr>
          <w:gridAfter w:val="8"/>
          <w:wAfter w:w="1999" w:type="dxa"/>
          <w:trHeight w:val="255"/>
        </w:trPr>
        <w:tc>
          <w:tcPr>
            <w:tcW w:w="717" w:type="dxa"/>
            <w:gridSpan w:val="3"/>
            <w:tcBorders>
              <w:top w:val="nil"/>
              <w:left w:val="nil"/>
              <w:bottom w:val="nil"/>
              <w:right w:val="nil"/>
            </w:tcBorders>
            <w:shd w:val="clear" w:color="auto" w:fill="auto"/>
            <w:noWrap/>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28)</w:t>
            </w:r>
          </w:p>
        </w:tc>
        <w:tc>
          <w:tcPr>
            <w:tcW w:w="9916" w:type="dxa"/>
            <w:gridSpan w:val="15"/>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GST </w:t>
            </w:r>
            <w:proofErr w:type="gramStart"/>
            <w:r w:rsidRPr="0009212F">
              <w:rPr>
                <w:color w:val="404040" w:themeColor="text1" w:themeTint="BF"/>
                <w:sz w:val="18"/>
                <w:szCs w:val="18"/>
                <w:lang w:val="en-AU"/>
              </w:rPr>
              <w:t>receipt on sales have</w:t>
            </w:r>
            <w:proofErr w:type="gramEnd"/>
            <w:r w:rsidRPr="0009212F">
              <w:rPr>
                <w:color w:val="404040" w:themeColor="text1" w:themeTint="BF"/>
                <w:sz w:val="18"/>
                <w:szCs w:val="18"/>
                <w:lang w:val="en-AU"/>
              </w:rPr>
              <w:t xml:space="preserve"> not been budgeted for the year.</w:t>
            </w:r>
          </w:p>
        </w:tc>
      </w:tr>
      <w:tr w:rsidR="0009212F" w:rsidRPr="0009212F" w:rsidTr="007D38A8">
        <w:trPr>
          <w:gridAfter w:val="8"/>
          <w:wAfter w:w="1999" w:type="dxa"/>
          <w:trHeight w:val="255"/>
        </w:trPr>
        <w:tc>
          <w:tcPr>
            <w:tcW w:w="717" w:type="dxa"/>
            <w:gridSpan w:val="3"/>
            <w:tcBorders>
              <w:top w:val="nil"/>
              <w:left w:val="nil"/>
              <w:bottom w:val="nil"/>
              <w:right w:val="nil"/>
            </w:tcBorders>
            <w:shd w:val="clear" w:color="auto" w:fill="auto"/>
            <w:noWrap/>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29)</w:t>
            </w:r>
          </w:p>
        </w:tc>
        <w:tc>
          <w:tcPr>
            <w:tcW w:w="9916" w:type="dxa"/>
            <w:gridSpan w:val="15"/>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GST </w:t>
            </w:r>
            <w:proofErr w:type="gramStart"/>
            <w:r w:rsidRPr="0009212F">
              <w:rPr>
                <w:color w:val="404040" w:themeColor="text1" w:themeTint="BF"/>
                <w:sz w:val="18"/>
                <w:szCs w:val="18"/>
                <w:lang w:val="en-AU"/>
              </w:rPr>
              <w:t>receipt from taxation authority have</w:t>
            </w:r>
            <w:proofErr w:type="gramEnd"/>
            <w:r w:rsidRPr="0009212F">
              <w:rPr>
                <w:color w:val="404040" w:themeColor="text1" w:themeTint="BF"/>
                <w:sz w:val="18"/>
                <w:szCs w:val="18"/>
                <w:lang w:val="en-AU"/>
              </w:rPr>
              <w:t xml:space="preserve"> not been budgeted for the year. </w:t>
            </w:r>
          </w:p>
        </w:tc>
      </w:tr>
      <w:tr w:rsidR="0009212F" w:rsidRPr="0009212F" w:rsidTr="007D38A8">
        <w:trPr>
          <w:gridAfter w:val="8"/>
          <w:wAfter w:w="1999" w:type="dxa"/>
          <w:trHeight w:val="585"/>
        </w:trPr>
        <w:tc>
          <w:tcPr>
            <w:tcW w:w="717" w:type="dxa"/>
            <w:gridSpan w:val="3"/>
            <w:tcBorders>
              <w:top w:val="nil"/>
              <w:left w:val="nil"/>
              <w:bottom w:val="nil"/>
              <w:right w:val="nil"/>
            </w:tcBorders>
            <w:shd w:val="clear" w:color="auto" w:fill="auto"/>
            <w:noWrap/>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30)</w:t>
            </w:r>
          </w:p>
        </w:tc>
        <w:tc>
          <w:tcPr>
            <w:tcW w:w="9916" w:type="dxa"/>
            <w:gridSpan w:val="15"/>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budget was prepared based on the holding account drawdown which is different to the actual assets purchased for the 2015.</w:t>
            </w:r>
          </w:p>
        </w:tc>
      </w:tr>
      <w:tr w:rsidR="0009212F" w:rsidRPr="0009212F" w:rsidTr="007D38A8">
        <w:trPr>
          <w:trHeight w:val="255"/>
        </w:trPr>
        <w:tc>
          <w:tcPr>
            <w:tcW w:w="11508" w:type="dxa"/>
            <w:gridSpan w:val="21"/>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Variances between actual results for 2015 and 2014</w:t>
            </w:r>
          </w:p>
        </w:tc>
        <w:tc>
          <w:tcPr>
            <w:tcW w:w="22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22"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3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7D38A8">
        <w:trPr>
          <w:gridAfter w:val="6"/>
          <w:wAfter w:w="1574" w:type="dxa"/>
          <w:trHeight w:val="54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ind w:left="27" w:hanging="27"/>
              <w:rPr>
                <w:color w:val="404040" w:themeColor="text1" w:themeTint="BF"/>
                <w:sz w:val="18"/>
                <w:szCs w:val="18"/>
                <w:lang w:val="en-AU"/>
              </w:rPr>
            </w:pPr>
            <w:r w:rsidRPr="0009212F">
              <w:rPr>
                <w:color w:val="404040" w:themeColor="text1" w:themeTint="BF"/>
                <w:sz w:val="18"/>
                <w:szCs w:val="18"/>
                <w:lang w:val="en-AU"/>
              </w:rPr>
              <w:t>Employee benefits expense reduced by $0.7 million mainly due to casual employees hired to service the Biennial Local Government Ordinary Election held in October 2013.</w:t>
            </w:r>
          </w:p>
        </w:tc>
      </w:tr>
      <w:tr w:rsidR="0009212F" w:rsidRPr="0009212F" w:rsidTr="007D38A8">
        <w:trPr>
          <w:gridAfter w:val="6"/>
          <w:wAfter w:w="1574" w:type="dxa"/>
          <w:trHeight w:val="57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B)</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Supplies and services expense reduced by $1.3 million due to higher spending during the Biennial Local Government Ordinary Election held in October 2013.</w:t>
            </w:r>
          </w:p>
        </w:tc>
      </w:tr>
      <w:tr w:rsidR="0009212F" w:rsidRPr="0009212F" w:rsidTr="007D38A8">
        <w:trPr>
          <w:gridAfter w:val="6"/>
          <w:wAfter w:w="1574" w:type="dxa"/>
          <w:trHeight w:val="57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C) </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There was $0.1 million asset addition in 2015 which will increase the depreciation and amortisation for 2015 in </w:t>
            </w:r>
            <w:r w:rsidR="007D38A8">
              <w:rPr>
                <w:color w:val="404040" w:themeColor="text1" w:themeTint="BF"/>
                <w:sz w:val="18"/>
                <w:szCs w:val="18"/>
                <w:lang w:val="en-AU"/>
              </w:rPr>
              <w:br/>
            </w:r>
            <w:r w:rsidRPr="0009212F">
              <w:rPr>
                <w:color w:val="404040" w:themeColor="text1" w:themeTint="BF"/>
                <w:sz w:val="18"/>
                <w:szCs w:val="18"/>
                <w:lang w:val="en-AU"/>
              </w:rPr>
              <w:t>comparison to 2014.</w:t>
            </w:r>
          </w:p>
        </w:tc>
      </w:tr>
      <w:tr w:rsidR="0009212F" w:rsidRPr="0009212F" w:rsidTr="007D38A8">
        <w:trPr>
          <w:gridAfter w:val="6"/>
          <w:wAfter w:w="1574" w:type="dxa"/>
          <w:trHeight w:val="60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D)</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ind w:left="27" w:hanging="27"/>
              <w:rPr>
                <w:color w:val="404040" w:themeColor="text1" w:themeTint="BF"/>
                <w:sz w:val="18"/>
                <w:szCs w:val="18"/>
                <w:lang w:val="en-AU"/>
              </w:rPr>
            </w:pPr>
            <w:r w:rsidRPr="0009212F">
              <w:rPr>
                <w:color w:val="404040" w:themeColor="text1" w:themeTint="BF"/>
                <w:sz w:val="18"/>
                <w:szCs w:val="18"/>
                <w:lang w:val="en-AU"/>
              </w:rPr>
              <w:t>The increase of $22k in grants expense relates to $11k grants expense was the residual grants expenses related to State Election 2013 and $33k grants expense in 2015 related to Vasse By-Election 2015.</w:t>
            </w:r>
          </w:p>
        </w:tc>
      </w:tr>
      <w:tr w:rsidR="0009212F" w:rsidRPr="0009212F" w:rsidTr="007D38A8">
        <w:trPr>
          <w:gridAfter w:val="6"/>
          <w:wAfter w:w="1574" w:type="dxa"/>
          <w:trHeight w:val="55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E)</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ind w:left="27" w:hanging="27"/>
              <w:rPr>
                <w:color w:val="404040" w:themeColor="text1" w:themeTint="BF"/>
                <w:sz w:val="18"/>
                <w:szCs w:val="18"/>
                <w:lang w:val="en-AU"/>
              </w:rPr>
            </w:pPr>
            <w:r w:rsidRPr="0009212F">
              <w:rPr>
                <w:color w:val="404040" w:themeColor="text1" w:themeTint="BF"/>
                <w:sz w:val="18"/>
                <w:szCs w:val="18"/>
                <w:lang w:val="en-AU"/>
              </w:rPr>
              <w:t>The decrease in sale of goods and services by $3 million mainly due to the high level recoupable revenue from local councils for the Biennial Local Government Ordinary Election held in October 2013.</w:t>
            </w:r>
          </w:p>
        </w:tc>
      </w:tr>
      <w:tr w:rsidR="0009212F" w:rsidRPr="0009212F" w:rsidTr="007D38A8">
        <w:trPr>
          <w:gridAfter w:val="6"/>
          <w:wAfter w:w="1574" w:type="dxa"/>
          <w:trHeight w:val="105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F)</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Service appropriation has increased by $1.3 million mainly due to funding of $0.8 million for the Office of the Electoral Distribution Commissioners being brought forward and the additional funding for Vasse By-Election of $0.2 million. The change in the Office of the Electo</w:t>
            </w:r>
            <w:r w:rsidR="007D38A8">
              <w:rPr>
                <w:color w:val="404040" w:themeColor="text1" w:themeTint="BF"/>
                <w:sz w:val="18"/>
                <w:szCs w:val="18"/>
                <w:lang w:val="en-AU"/>
              </w:rPr>
              <w:t xml:space="preserve">ral Distribution Commissioners </w:t>
            </w:r>
            <w:r w:rsidRPr="0009212F">
              <w:rPr>
                <w:color w:val="404040" w:themeColor="text1" w:themeTint="BF"/>
                <w:sz w:val="18"/>
                <w:szCs w:val="18"/>
                <w:lang w:val="en-AU"/>
              </w:rPr>
              <w:t xml:space="preserve">due to the variation of the workload cycle in the 3 years cycle. </w:t>
            </w:r>
          </w:p>
        </w:tc>
      </w:tr>
      <w:tr w:rsidR="0009212F" w:rsidRPr="0009212F" w:rsidTr="007D38A8">
        <w:trPr>
          <w:gridAfter w:val="6"/>
          <w:wAfter w:w="1574" w:type="dxa"/>
          <w:trHeight w:val="585"/>
        </w:trPr>
        <w:tc>
          <w:tcPr>
            <w:tcW w:w="717" w:type="dxa"/>
            <w:gridSpan w:val="3"/>
            <w:tcBorders>
              <w:top w:val="nil"/>
              <w:left w:val="nil"/>
              <w:bottom w:val="nil"/>
              <w:right w:val="nil"/>
            </w:tcBorders>
            <w:shd w:val="clear" w:color="auto" w:fill="auto"/>
            <w:noWrap/>
            <w:hideMark/>
          </w:tcPr>
          <w:p w:rsidR="0009212F" w:rsidRPr="0009212F" w:rsidRDefault="0009212F" w:rsidP="007D38A8">
            <w:pPr>
              <w:pStyle w:val="BodyCopy"/>
              <w:tabs>
                <w:tab w:val="left" w:pos="709"/>
              </w:tabs>
              <w:spacing w:before="40" w:after="40" w:line="160" w:lineRule="atLeast"/>
              <w:rPr>
                <w:color w:val="404040" w:themeColor="text1" w:themeTint="BF"/>
                <w:sz w:val="18"/>
                <w:szCs w:val="18"/>
                <w:lang w:val="en-AU"/>
              </w:rPr>
            </w:pPr>
            <w:r w:rsidRPr="0009212F">
              <w:rPr>
                <w:color w:val="404040" w:themeColor="text1" w:themeTint="BF"/>
                <w:sz w:val="18"/>
                <w:szCs w:val="18"/>
                <w:lang w:val="en-AU"/>
              </w:rPr>
              <w:t>G)</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increase of $27k to resources received free of charge is mainly due to the increase of services provided by Department of Attorney General in 2015 compared to 2014. </w:t>
            </w:r>
          </w:p>
        </w:tc>
      </w:tr>
      <w:tr w:rsidR="0009212F" w:rsidRPr="0009212F" w:rsidTr="007D38A8">
        <w:trPr>
          <w:gridAfter w:val="6"/>
          <w:wAfter w:w="1574" w:type="dxa"/>
          <w:trHeight w:val="52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H)</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reduction in cash by $0.1 million mainly due to Vasse By-Election whereby the total cost of running the election </w:t>
            </w:r>
            <w:r w:rsidR="007D38A8">
              <w:rPr>
                <w:color w:val="404040" w:themeColor="text1" w:themeTint="BF"/>
                <w:sz w:val="18"/>
                <w:szCs w:val="18"/>
                <w:lang w:val="en-AU"/>
              </w:rPr>
              <w:br/>
            </w:r>
            <w:r w:rsidRPr="0009212F">
              <w:rPr>
                <w:color w:val="404040" w:themeColor="text1" w:themeTint="BF"/>
                <w:sz w:val="18"/>
                <w:szCs w:val="18"/>
                <w:lang w:val="en-AU"/>
              </w:rPr>
              <w:t>was $0.3 million and the funding from Government was $0.2 million.</w:t>
            </w:r>
          </w:p>
        </w:tc>
      </w:tr>
      <w:tr w:rsidR="0009212F" w:rsidRPr="0009212F" w:rsidTr="007D38A8">
        <w:trPr>
          <w:gridAfter w:val="6"/>
          <w:wAfter w:w="1574" w:type="dxa"/>
          <w:trHeight w:val="82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I)</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increase in current restricted cash by $0.1 million is due to a transfer from non-current restricted cash. Restricted cash is made up of salaries relating to the 27th pay period. As this amount is to be paid out in the 2015/16 year, a transfer from non-current restricted cash to current restricted cash has occurred. </w:t>
            </w:r>
          </w:p>
        </w:tc>
      </w:tr>
      <w:tr w:rsidR="0009212F" w:rsidRPr="0009212F" w:rsidTr="007D38A8">
        <w:trPr>
          <w:gridAfter w:val="6"/>
          <w:wAfter w:w="1574" w:type="dxa"/>
          <w:trHeight w:val="52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J)</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ind w:left="27" w:hanging="27"/>
              <w:rPr>
                <w:color w:val="404040" w:themeColor="text1" w:themeTint="BF"/>
                <w:sz w:val="18"/>
                <w:szCs w:val="18"/>
                <w:lang w:val="en-AU"/>
              </w:rPr>
            </w:pPr>
            <w:r w:rsidRPr="0009212F">
              <w:rPr>
                <w:color w:val="404040" w:themeColor="text1" w:themeTint="BF"/>
                <w:sz w:val="18"/>
                <w:szCs w:val="18"/>
                <w:lang w:val="en-AU"/>
              </w:rPr>
              <w:t>The reduction in receivable by $0.1 million is due to the occurrence of the Biennial Local Government Ordinary Election held in October 2013.</w:t>
            </w:r>
          </w:p>
        </w:tc>
      </w:tr>
      <w:tr w:rsidR="0009212F" w:rsidRPr="0009212F" w:rsidTr="007D38A8">
        <w:trPr>
          <w:gridAfter w:val="6"/>
          <w:wAfter w:w="1574" w:type="dxa"/>
          <w:trHeight w:val="88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K)</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decrease in non-current restricted cash by $0.1 million is due to a transfer to current restricted cash. Restricted cash is made up of salaries relating to the 27th pay period. As this amount is to be paid out in the 2015/16 year, a transfer from non-current restricted cash to current restricted cash has occurred. </w:t>
            </w:r>
          </w:p>
        </w:tc>
      </w:tr>
      <w:tr w:rsidR="0009212F" w:rsidRPr="0009212F" w:rsidTr="007D38A8">
        <w:trPr>
          <w:gridAfter w:val="6"/>
          <w:wAfter w:w="1574" w:type="dxa"/>
          <w:trHeight w:val="57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L)</w:t>
            </w:r>
          </w:p>
        </w:tc>
        <w:tc>
          <w:tcPr>
            <w:tcW w:w="10341" w:type="dxa"/>
            <w:gridSpan w:val="17"/>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ind w:left="27" w:hanging="27"/>
              <w:rPr>
                <w:color w:val="404040" w:themeColor="text1" w:themeTint="BF"/>
                <w:sz w:val="18"/>
                <w:szCs w:val="18"/>
                <w:lang w:val="en-AU"/>
              </w:rPr>
            </w:pPr>
            <w:r w:rsidRPr="0009212F">
              <w:rPr>
                <w:color w:val="404040" w:themeColor="text1" w:themeTint="BF"/>
                <w:sz w:val="18"/>
                <w:szCs w:val="18"/>
                <w:lang w:val="en-AU"/>
              </w:rPr>
              <w:t xml:space="preserve">The increase in amount receivable for services by $67k is due to the change in the management of capital funding from three yearly funding to yearly funding. </w:t>
            </w:r>
          </w:p>
        </w:tc>
      </w:tr>
      <w:tr w:rsidR="0009212F" w:rsidRPr="0009212F" w:rsidTr="007D38A8">
        <w:trPr>
          <w:gridAfter w:val="6"/>
          <w:wAfter w:w="1574" w:type="dxa"/>
          <w:trHeight w:val="31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M)</w:t>
            </w:r>
          </w:p>
        </w:tc>
        <w:tc>
          <w:tcPr>
            <w:tcW w:w="10341" w:type="dxa"/>
            <w:gridSpan w:val="17"/>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reduction in plant and equipment of $26k is mainly contributed by asset disposals of $0.1 million in 2015.</w:t>
            </w:r>
          </w:p>
        </w:tc>
      </w:tr>
      <w:tr w:rsidR="0009212F" w:rsidRPr="0009212F" w:rsidTr="007D38A8">
        <w:trPr>
          <w:gridAfter w:val="6"/>
          <w:wAfter w:w="1574" w:type="dxa"/>
          <w:trHeight w:val="25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N)</w:t>
            </w:r>
          </w:p>
        </w:tc>
        <w:tc>
          <w:tcPr>
            <w:tcW w:w="10341" w:type="dxa"/>
            <w:gridSpan w:val="17"/>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increase in payable of $0.2 million from prior year is due to the change in timing of payments made to the ATO.</w:t>
            </w:r>
          </w:p>
        </w:tc>
      </w:tr>
      <w:tr w:rsidR="0009212F" w:rsidRPr="0009212F" w:rsidTr="007D38A8">
        <w:trPr>
          <w:gridAfter w:val="7"/>
          <w:wAfter w:w="1717" w:type="dxa"/>
          <w:trHeight w:val="41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O)</w:t>
            </w:r>
          </w:p>
        </w:tc>
        <w:tc>
          <w:tcPr>
            <w:tcW w:w="10198" w:type="dxa"/>
            <w:gridSpan w:val="16"/>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Provisions have decreased by $51k in 2015 due to the introduction of management initiatives to comply with leave liability cap policies</w:t>
            </w:r>
          </w:p>
        </w:tc>
      </w:tr>
      <w:tr w:rsidR="0009212F" w:rsidRPr="0009212F" w:rsidTr="007D38A8">
        <w:trPr>
          <w:gridAfter w:val="7"/>
          <w:wAfter w:w="1717" w:type="dxa"/>
          <w:trHeight w:val="106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P)</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decrease in accumulated surplus is directly </w:t>
            </w:r>
            <w:proofErr w:type="spellStart"/>
            <w:r w:rsidRPr="0009212F">
              <w:rPr>
                <w:color w:val="404040" w:themeColor="text1" w:themeTint="BF"/>
                <w:sz w:val="18"/>
                <w:szCs w:val="18"/>
                <w:lang w:val="en-AU"/>
              </w:rPr>
              <w:t>effected</w:t>
            </w:r>
            <w:proofErr w:type="spellEnd"/>
            <w:r w:rsidRPr="0009212F">
              <w:rPr>
                <w:color w:val="404040" w:themeColor="text1" w:themeTint="BF"/>
                <w:sz w:val="18"/>
                <w:szCs w:val="18"/>
                <w:lang w:val="en-AU"/>
              </w:rPr>
              <w:t xml:space="preserve"> by the surplus</w:t>
            </w:r>
            <w:proofErr w:type="gramStart"/>
            <w:r w:rsidRPr="0009212F">
              <w:rPr>
                <w:color w:val="404040" w:themeColor="text1" w:themeTint="BF"/>
                <w:sz w:val="18"/>
                <w:szCs w:val="18"/>
                <w:lang w:val="en-AU"/>
              </w:rPr>
              <w:t>/(</w:t>
            </w:r>
            <w:proofErr w:type="gramEnd"/>
            <w:r w:rsidRPr="0009212F">
              <w:rPr>
                <w:color w:val="404040" w:themeColor="text1" w:themeTint="BF"/>
                <w:sz w:val="18"/>
                <w:szCs w:val="18"/>
                <w:lang w:val="en-AU"/>
              </w:rPr>
              <w:t xml:space="preserve">deficit) in Comprehensive Income. The deficit in Comprehensive Income is mainly contributed by the additional Treasurer's Advances of $2.5 million required in 2014 for the Biennial Local Government Ordinary Election held in October 2013 in comparison to 2015 whereby no Treasurer's Advances were requested for the Vasse By-Election and the Local Government amalgamation polls. </w:t>
            </w:r>
          </w:p>
        </w:tc>
      </w:tr>
      <w:tr w:rsidR="0009212F" w:rsidRPr="0009212F" w:rsidTr="007D38A8">
        <w:trPr>
          <w:gridAfter w:val="7"/>
          <w:wAfter w:w="1717" w:type="dxa"/>
          <w:trHeight w:val="707"/>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Q)</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Service appropriation has increased by $1.4 million mainly due to funding of $0.8 million for the Office of the Electoral Distribution Commissioners being brought forward to meet the change in the workload over the 3 years cycle and the additional funding for Vasse By-Election of $0.2 million.</w:t>
            </w:r>
          </w:p>
        </w:tc>
      </w:tr>
      <w:tr w:rsidR="0009212F" w:rsidRPr="0009212F" w:rsidTr="007D38A8">
        <w:trPr>
          <w:gridAfter w:val="7"/>
          <w:wAfter w:w="1717" w:type="dxa"/>
          <w:trHeight w:val="54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increase in holding account drawdown by $67k is due to the change in the management of capital funding from the three yearly funding to yearly funding. </w:t>
            </w:r>
          </w:p>
        </w:tc>
      </w:tr>
      <w:tr w:rsidR="0009212F" w:rsidRPr="0009212F" w:rsidTr="007D38A8">
        <w:trPr>
          <w:gridAfter w:val="7"/>
          <w:wAfter w:w="1717" w:type="dxa"/>
          <w:trHeight w:val="57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S)</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Payment for employee benefits reduced by $0.9 million mainly due to casual employees hired to service the Biennial Local Government Ordinary Election held in October 2013.</w:t>
            </w:r>
          </w:p>
        </w:tc>
      </w:tr>
      <w:tr w:rsidR="0009212F" w:rsidRPr="0009212F" w:rsidTr="007D38A8">
        <w:trPr>
          <w:gridAfter w:val="7"/>
          <w:wAfter w:w="1717" w:type="dxa"/>
          <w:trHeight w:val="52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Payment for supplies and services reduced by $1.5 million due to higher spending during the Biennial Local Government Ordinary Election held in October 2013.</w:t>
            </w:r>
          </w:p>
        </w:tc>
      </w:tr>
      <w:tr w:rsidR="0009212F" w:rsidRPr="0009212F" w:rsidTr="007D38A8">
        <w:trPr>
          <w:gridAfter w:val="7"/>
          <w:wAfter w:w="1717" w:type="dxa"/>
          <w:trHeight w:val="54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lastRenderedPageBreak/>
              <w:t>U)</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increase of $22k in grants mainly relates to $11k being the residual grants during the 2013 State General Election and $33k for grants relating to the 2015 Vasse By-Election.</w:t>
            </w:r>
          </w:p>
        </w:tc>
      </w:tr>
      <w:tr w:rsidR="0009212F" w:rsidRPr="0009212F" w:rsidTr="007D38A8">
        <w:trPr>
          <w:gridAfter w:val="7"/>
          <w:wAfter w:w="1717" w:type="dxa"/>
          <w:trHeight w:val="55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V)</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increase in GST on purchases of $0.1 million mainly contributed by the number of transactions relating to the Vasse By-Election and Local Council amalgamation polls.</w:t>
            </w:r>
          </w:p>
        </w:tc>
      </w:tr>
      <w:tr w:rsidR="0009212F" w:rsidRPr="0009212F" w:rsidTr="007D38A8">
        <w:trPr>
          <w:gridAfter w:val="7"/>
          <w:wAfter w:w="1717" w:type="dxa"/>
          <w:trHeight w:val="57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W)</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The decrease in sale of goods and services of $3.5 million was mainly contributed by high level recoupable receipts from local councils relating to the Biennial Local Government Ordinary Election in October 2013.</w:t>
            </w:r>
          </w:p>
        </w:tc>
      </w:tr>
      <w:tr w:rsidR="0009212F" w:rsidRPr="0009212F" w:rsidTr="007D38A8">
        <w:trPr>
          <w:gridAfter w:val="7"/>
          <w:wAfter w:w="1717" w:type="dxa"/>
          <w:trHeight w:val="55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X)</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decrease in GST receipts on sales by $0.3 million is due high level recoupable receipts from local councils relating </w:t>
            </w:r>
            <w:proofErr w:type="gramStart"/>
            <w:r w:rsidRPr="0009212F">
              <w:rPr>
                <w:color w:val="404040" w:themeColor="text1" w:themeTint="BF"/>
                <w:sz w:val="18"/>
                <w:szCs w:val="18"/>
                <w:lang w:val="en-AU"/>
              </w:rPr>
              <w:t>to  the</w:t>
            </w:r>
            <w:proofErr w:type="gramEnd"/>
            <w:r w:rsidRPr="0009212F">
              <w:rPr>
                <w:color w:val="404040" w:themeColor="text1" w:themeTint="BF"/>
                <w:sz w:val="18"/>
                <w:szCs w:val="18"/>
                <w:lang w:val="en-AU"/>
              </w:rPr>
              <w:t xml:space="preserve"> Biennial Local Government Ordinary Election in October 2013.</w:t>
            </w:r>
          </w:p>
        </w:tc>
      </w:tr>
      <w:tr w:rsidR="0009212F" w:rsidRPr="0009212F" w:rsidTr="007D38A8">
        <w:trPr>
          <w:gridAfter w:val="7"/>
          <w:wAfter w:w="1717" w:type="dxa"/>
          <w:trHeight w:val="54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Y)</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increase in GST receipts from taxation authority of $0.1 million due to an adjustment made in 2015 to correct the December 2013 BAS return. </w:t>
            </w:r>
          </w:p>
        </w:tc>
      </w:tr>
      <w:tr w:rsidR="0009212F" w:rsidRPr="0009212F" w:rsidTr="007D38A8">
        <w:trPr>
          <w:gridAfter w:val="7"/>
          <w:wAfter w:w="1717" w:type="dxa"/>
          <w:trHeight w:val="30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Z)</w:t>
            </w:r>
          </w:p>
        </w:tc>
        <w:tc>
          <w:tcPr>
            <w:tcW w:w="10198" w:type="dxa"/>
            <w:gridSpan w:val="16"/>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decrease in the purchase of non-current assets of $0.1 million is due to an office refurbishment in 2014.</w:t>
            </w:r>
          </w:p>
        </w:tc>
      </w:tr>
      <w:tr w:rsidR="0009212F" w:rsidRPr="0009212F" w:rsidTr="007D38A8">
        <w:trPr>
          <w:gridAfter w:val="7"/>
          <w:wAfter w:w="1717" w:type="dxa"/>
          <w:trHeight w:val="555"/>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AA)</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ind w:left="26" w:hanging="26"/>
              <w:rPr>
                <w:color w:val="404040" w:themeColor="text1" w:themeTint="BF"/>
                <w:sz w:val="18"/>
                <w:szCs w:val="18"/>
                <w:lang w:val="en-AU"/>
              </w:rPr>
            </w:pPr>
            <w:r w:rsidRPr="0009212F">
              <w:rPr>
                <w:color w:val="404040" w:themeColor="text1" w:themeTint="BF"/>
                <w:sz w:val="18"/>
                <w:szCs w:val="18"/>
                <w:lang w:val="en-AU"/>
              </w:rPr>
              <w:t>The reduction in repayment of borrowing by $2.8 million due to repayment of Treasurer's Advances to Treasury which was required during Biennial Local Government Ordinary Election in October 2013.</w:t>
            </w:r>
          </w:p>
        </w:tc>
      </w:tr>
      <w:tr w:rsidR="0009212F" w:rsidRPr="0009212F" w:rsidTr="007D38A8">
        <w:trPr>
          <w:gridAfter w:val="7"/>
          <w:wAfter w:w="1717" w:type="dxa"/>
          <w:trHeight w:val="810"/>
        </w:trPr>
        <w:tc>
          <w:tcPr>
            <w:tcW w:w="717" w:type="dxa"/>
            <w:gridSpan w:val="3"/>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AB)</w:t>
            </w:r>
          </w:p>
        </w:tc>
        <w:tc>
          <w:tcPr>
            <w:tcW w:w="10198" w:type="dxa"/>
            <w:gridSpan w:val="1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reduction in proceeds from borrowing by $2.7 million is due to Treasurer's </w:t>
            </w:r>
            <w:r w:rsidR="007D38A8">
              <w:rPr>
                <w:color w:val="404040" w:themeColor="text1" w:themeTint="BF"/>
                <w:sz w:val="18"/>
                <w:szCs w:val="18"/>
                <w:lang w:val="en-AU"/>
              </w:rPr>
              <w:t>Advances required from Treasury</w:t>
            </w:r>
            <w:r w:rsidRPr="0009212F">
              <w:rPr>
                <w:color w:val="404040" w:themeColor="text1" w:themeTint="BF"/>
                <w:sz w:val="18"/>
                <w:szCs w:val="18"/>
                <w:lang w:val="en-AU"/>
              </w:rPr>
              <w:t xml:space="preserve"> to cover the Biennial Local Government Ordinary Election in October 2013 which was returned to Treasury in June 2014. No Treasurer's Advances were required in 2015.</w:t>
            </w: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br w:type="page"/>
      </w:r>
    </w:p>
    <w:tbl>
      <w:tblPr>
        <w:tblW w:w="11010" w:type="dxa"/>
        <w:tblInd w:w="108" w:type="dxa"/>
        <w:tblLook w:val="04A0" w:firstRow="1" w:lastRow="0" w:firstColumn="1" w:lastColumn="0" w:noHBand="0" w:noVBand="1"/>
      </w:tblPr>
      <w:tblGrid>
        <w:gridCol w:w="750"/>
        <w:gridCol w:w="716"/>
        <w:gridCol w:w="2481"/>
        <w:gridCol w:w="3991"/>
        <w:gridCol w:w="1476"/>
        <w:gridCol w:w="1596"/>
      </w:tblGrid>
      <w:tr w:rsidR="0009212F" w:rsidRPr="0009212F" w:rsidTr="0009212F">
        <w:trPr>
          <w:trHeight w:val="255"/>
        </w:trPr>
        <w:tc>
          <w:tcPr>
            <w:tcW w:w="11010" w:type="dxa"/>
            <w:gridSpan w:val="6"/>
            <w:tcBorders>
              <w:top w:val="nil"/>
              <w:left w:val="nil"/>
              <w:bottom w:val="nil"/>
              <w:right w:val="nil"/>
            </w:tcBorders>
            <w:shd w:val="clear" w:color="auto" w:fill="auto"/>
            <w:noWrap/>
            <w:vAlign w:val="bottom"/>
            <w:hideMark/>
          </w:tcPr>
          <w:p w:rsidR="0009212F" w:rsidRPr="0009212F" w:rsidRDefault="0009212F" w:rsidP="007D38A8">
            <w:pPr>
              <w:pStyle w:val="BodyCopy"/>
              <w:tabs>
                <w:tab w:val="left" w:pos="709"/>
              </w:tabs>
              <w:spacing w:before="40" w:after="40" w:line="160" w:lineRule="atLeast"/>
              <w:ind w:left="1418" w:hanging="1418"/>
              <w:jc w:val="right"/>
              <w:rPr>
                <w:b/>
                <w:bCs/>
                <w:color w:val="404040" w:themeColor="text1" w:themeTint="BF"/>
                <w:sz w:val="18"/>
                <w:szCs w:val="18"/>
                <w:lang w:val="en-AU"/>
              </w:rPr>
            </w:pPr>
            <w:r w:rsidRPr="0009212F">
              <w:rPr>
                <w:b/>
                <w:bCs/>
                <w:color w:val="404040" w:themeColor="text1" w:themeTint="BF"/>
                <w:sz w:val="18"/>
                <w:szCs w:val="18"/>
                <w:lang w:val="en-AU"/>
              </w:rPr>
              <w:lastRenderedPageBreak/>
              <w:t>Western Australian Electoral Commission - 30 June 2015</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300"/>
        </w:trPr>
        <w:tc>
          <w:tcPr>
            <w:tcW w:w="11010" w:type="dxa"/>
            <w:gridSpan w:val="6"/>
            <w:tcBorders>
              <w:top w:val="nil"/>
              <w:left w:val="nil"/>
              <w:bottom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i/>
                <w:iCs/>
                <w:color w:val="404040" w:themeColor="text1" w:themeTint="BF"/>
                <w:sz w:val="18"/>
                <w:szCs w:val="18"/>
                <w:lang w:val="en-AU"/>
              </w:rPr>
            </w:pPr>
            <w:r w:rsidRPr="0009212F">
              <w:rPr>
                <w:b/>
                <w:bCs/>
                <w:i/>
                <w:iCs/>
                <w:color w:val="404040" w:themeColor="text1" w:themeTint="BF"/>
                <w:sz w:val="18"/>
                <w:szCs w:val="18"/>
                <w:lang w:val="en-AU"/>
              </w:rPr>
              <w:t xml:space="preserve">Note 29.  Financial instruments </w:t>
            </w:r>
          </w:p>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noProof/>
                <w:color w:val="404040" w:themeColor="text1" w:themeTint="BF"/>
                <w:sz w:val="18"/>
                <w:szCs w:val="18"/>
                <w:lang w:val="en-AU" w:eastAsia="en-AU"/>
              </w:rPr>
              <mc:AlternateContent>
                <mc:Choice Requires="wps">
                  <w:drawing>
                    <wp:anchor distT="0" distB="0" distL="114300" distR="114300" simplePos="0" relativeHeight="251663360" behindDoc="0" locked="0" layoutInCell="1" allowOverlap="1" wp14:anchorId="1E7849A8" wp14:editId="07AE7A6A">
                      <wp:simplePos x="0" y="0"/>
                      <wp:positionH relativeFrom="column">
                        <wp:posOffset>0</wp:posOffset>
                      </wp:positionH>
                      <wp:positionV relativeFrom="paragraph">
                        <wp:posOffset>0</wp:posOffset>
                      </wp:positionV>
                      <wp:extent cx="0" cy="0"/>
                      <wp:effectExtent l="0" t="0" r="0" b="0"/>
                      <wp:wrapNone/>
                      <wp:docPr id="11" name="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2" o:spid="_x0000_s1026" type="#_x0000_t202" style="position:absolute;left:0;text-align:left;margin-left:0;margin-top:0;width:0;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" stroked="f" strokeweight="3e-5mm">
                      <v:textbox inset="2.16pt,1.8pt,2.16pt,0">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09212F">
              <w:rPr>
                <w:noProof/>
                <w:color w:val="404040" w:themeColor="text1" w:themeTint="BF"/>
                <w:sz w:val="18"/>
                <w:szCs w:val="18"/>
                <w:lang w:val="en-AU" w:eastAsia="en-AU"/>
              </w:rPr>
              <mc:AlternateContent>
                <mc:Choice Requires="wps">
                  <w:drawing>
                    <wp:anchor distT="0" distB="0" distL="114300" distR="114300" simplePos="0" relativeHeight="251664384" behindDoc="0" locked="0" layoutInCell="1" allowOverlap="1" wp14:anchorId="4B9AF9D1" wp14:editId="136EA171">
                      <wp:simplePos x="0" y="0"/>
                      <wp:positionH relativeFrom="column">
                        <wp:posOffset>0</wp:posOffset>
                      </wp:positionH>
                      <wp:positionV relativeFrom="paragraph">
                        <wp:posOffset>0</wp:posOffset>
                      </wp:positionV>
                      <wp:extent cx="0" cy="0"/>
                      <wp:effectExtent l="0" t="0" r="0" b="0"/>
                      <wp:wrapNone/>
                      <wp:docPr id="10" name="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3" o:spid="_x0000_s1027" type="#_x0000_t202" style="position:absolute;left:0;text-align:left;margin-left:0;margin-top:0;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" stroked="f" strokeweight="3e-5mm">
                      <v:textbox inset="2.16pt,1.8pt,2.16pt,0">
                        <w:txbxContent>
                          <w:p w:rsidR="00952AF1" w:rsidRDefault="00952AF1" w:rsidP="0009212F">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09212F">
              <w:rPr>
                <w:noProof/>
                <w:color w:val="404040" w:themeColor="text1" w:themeTint="BF"/>
                <w:sz w:val="18"/>
                <w:szCs w:val="18"/>
                <w:lang w:val="en-AU" w:eastAsia="en-AU"/>
              </w:rPr>
              <mc:AlternateContent>
                <mc:Choice Requires="wps">
                  <w:drawing>
                    <wp:anchor distT="0" distB="0" distL="114300" distR="114300" simplePos="0" relativeHeight="251672576" behindDoc="0" locked="0" layoutInCell="1" allowOverlap="1" wp14:anchorId="16342FB7" wp14:editId="6B1733C7">
                      <wp:simplePos x="0" y="0"/>
                      <wp:positionH relativeFrom="column">
                        <wp:posOffset>0</wp:posOffset>
                      </wp:positionH>
                      <wp:positionV relativeFrom="paragraph">
                        <wp:posOffset>0</wp:posOffset>
                      </wp:positionV>
                      <wp:extent cx="0" cy="0"/>
                      <wp:effectExtent l="0" t="0" r="0" b="0"/>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0;margin-top:0;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" stroked="f" strokeweight="3e-5mm">
                      <v:textbox inset="2.16pt,1.8pt,2.16pt,0">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09212F">
              <w:rPr>
                <w:noProof/>
                <w:color w:val="404040" w:themeColor="text1" w:themeTint="BF"/>
                <w:sz w:val="18"/>
                <w:szCs w:val="18"/>
                <w:lang w:val="en-AU" w:eastAsia="en-AU"/>
              </w:rPr>
              <mc:AlternateContent>
                <mc:Choice Requires="wps">
                  <w:drawing>
                    <wp:anchor distT="0" distB="0" distL="114300" distR="114300" simplePos="0" relativeHeight="251673600" behindDoc="0" locked="0" layoutInCell="1" allowOverlap="1" wp14:anchorId="742A5140" wp14:editId="167BFD1D">
                      <wp:simplePos x="0" y="0"/>
                      <wp:positionH relativeFrom="column">
                        <wp:posOffset>0</wp:posOffset>
                      </wp:positionH>
                      <wp:positionV relativeFrom="paragraph">
                        <wp:posOffset>0</wp:posOffset>
                      </wp:positionV>
                      <wp:extent cx="0" cy="0"/>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0;margin-top:0;width:0;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" stroked="f" strokeweight="3e-5mm">
                      <v:textbox inset="2.16pt,1.8pt,2.16pt,0">
                        <w:txbxContent>
                          <w:p w:rsidR="00952AF1" w:rsidRDefault="00952AF1" w:rsidP="0009212F">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09212F">
              <w:rPr>
                <w:noProof/>
                <w:color w:val="404040" w:themeColor="text1" w:themeTint="BF"/>
                <w:sz w:val="18"/>
                <w:szCs w:val="18"/>
                <w:lang w:val="en-AU" w:eastAsia="en-AU"/>
              </w:rPr>
              <mc:AlternateContent>
                <mc:Choice Requires="wps">
                  <w:drawing>
                    <wp:anchor distT="0" distB="0" distL="114300" distR="114300" simplePos="0" relativeHeight="251665408" behindDoc="0" locked="0" layoutInCell="1" allowOverlap="1" wp14:anchorId="2DA9F490" wp14:editId="6C180689">
                      <wp:simplePos x="0" y="0"/>
                      <wp:positionH relativeFrom="column">
                        <wp:posOffset>257175</wp:posOffset>
                      </wp:positionH>
                      <wp:positionV relativeFrom="paragraph">
                        <wp:posOffset>0</wp:posOffset>
                      </wp:positionV>
                      <wp:extent cx="0" cy="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20.25pt;margin-top:0;width:0;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" stroked="f" strokeweight="3e-5mm">
                      <v:textbox inset="2.16pt,1.8pt,2.16pt,0">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09212F">
              <w:rPr>
                <w:noProof/>
                <w:color w:val="404040" w:themeColor="text1" w:themeTint="BF"/>
                <w:sz w:val="18"/>
                <w:szCs w:val="18"/>
                <w:lang w:val="en-AU" w:eastAsia="en-AU"/>
              </w:rPr>
              <mc:AlternateContent>
                <mc:Choice Requires="wps">
                  <w:drawing>
                    <wp:anchor distT="0" distB="0" distL="114300" distR="114300" simplePos="0" relativeHeight="251666432" behindDoc="0" locked="0" layoutInCell="1" allowOverlap="1" wp14:anchorId="70BFA7E2" wp14:editId="03987B85">
                      <wp:simplePos x="0" y="0"/>
                      <wp:positionH relativeFrom="column">
                        <wp:posOffset>257175</wp:posOffset>
                      </wp:positionH>
                      <wp:positionV relativeFrom="paragraph">
                        <wp:posOffset>0</wp:posOffset>
                      </wp:positionV>
                      <wp:extent cx="0" cy="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0.25pt;margin-top:0;width:0;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" stroked="f" strokeweight="3e-5mm">
                      <v:textbox inset="2.16pt,1.8pt,2.16pt,0">
                        <w:txbxContent>
                          <w:p w:rsidR="00952AF1" w:rsidRDefault="00952AF1" w:rsidP="0009212F">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09212F">
              <w:rPr>
                <w:noProof/>
                <w:color w:val="404040" w:themeColor="text1" w:themeTint="BF"/>
                <w:sz w:val="18"/>
                <w:szCs w:val="18"/>
                <w:lang w:val="en-AU" w:eastAsia="en-AU"/>
              </w:rPr>
              <mc:AlternateContent>
                <mc:Choice Requires="wps">
                  <w:drawing>
                    <wp:anchor distT="0" distB="0" distL="114300" distR="114300" simplePos="0" relativeHeight="251667456" behindDoc="0" locked="0" layoutInCell="1" allowOverlap="1" wp14:anchorId="0BC75EE2" wp14:editId="7A8FB51A">
                      <wp:simplePos x="0" y="0"/>
                      <wp:positionH relativeFrom="column">
                        <wp:posOffset>257175</wp:posOffset>
                      </wp:positionH>
                      <wp:positionV relativeFrom="paragraph">
                        <wp:posOffset>0</wp:posOffset>
                      </wp:positionV>
                      <wp:extent cx="0" cy="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0.25pt;margin-top:0;width:0;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" stroked="f" strokeweight="3e-5mm">
                      <v:textbox inset="2.16pt,1.8pt,2.16pt,0">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09212F">
              <w:rPr>
                <w:noProof/>
                <w:color w:val="404040" w:themeColor="text1" w:themeTint="BF"/>
                <w:sz w:val="18"/>
                <w:szCs w:val="18"/>
                <w:lang w:val="en-AU" w:eastAsia="en-AU"/>
              </w:rPr>
              <mc:AlternateContent>
                <mc:Choice Requires="wps">
                  <w:drawing>
                    <wp:anchor distT="0" distB="0" distL="114300" distR="114300" simplePos="0" relativeHeight="251668480" behindDoc="0" locked="0" layoutInCell="1" allowOverlap="1" wp14:anchorId="76239EB4" wp14:editId="4F8C4DC2">
                      <wp:simplePos x="0" y="0"/>
                      <wp:positionH relativeFrom="column">
                        <wp:posOffset>257175</wp:posOffset>
                      </wp:positionH>
                      <wp:positionV relativeFrom="paragraph">
                        <wp:posOffset>0</wp:posOffset>
                      </wp:positionV>
                      <wp:extent cx="0" cy="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20.25pt;margin-top:0;width:0;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" stroked="f" strokeweight="3e-5mm">
                      <v:textbox inset="2.16pt,1.8pt,2.16pt,0">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09212F">
              <w:rPr>
                <w:noProof/>
                <w:color w:val="404040" w:themeColor="text1" w:themeTint="BF"/>
                <w:sz w:val="18"/>
                <w:szCs w:val="18"/>
                <w:lang w:val="en-AU" w:eastAsia="en-AU"/>
              </w:rPr>
              <mc:AlternateContent>
                <mc:Choice Requires="wps">
                  <w:drawing>
                    <wp:anchor distT="0" distB="0" distL="114300" distR="114300" simplePos="0" relativeHeight="251669504" behindDoc="0" locked="0" layoutInCell="1" allowOverlap="1" wp14:anchorId="548FFABF" wp14:editId="3293411D">
                      <wp:simplePos x="0" y="0"/>
                      <wp:positionH relativeFrom="column">
                        <wp:posOffset>257175</wp:posOffset>
                      </wp:positionH>
                      <wp:positionV relativeFrom="paragraph">
                        <wp:posOffset>0</wp:posOffset>
                      </wp:positionV>
                      <wp:extent cx="0" cy="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0.25pt;margin-top:0;width:0;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" stroked="f" strokeweight="3e-5mm">
                      <v:textbox inset="2.16pt,1.8pt,2.16pt,0">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09212F">
              <w:rPr>
                <w:noProof/>
                <w:color w:val="404040" w:themeColor="text1" w:themeTint="BF"/>
                <w:sz w:val="18"/>
                <w:szCs w:val="18"/>
                <w:lang w:val="en-AU" w:eastAsia="en-AU"/>
              </w:rPr>
              <mc:AlternateContent>
                <mc:Choice Requires="wps">
                  <w:drawing>
                    <wp:anchor distT="0" distB="0" distL="114300" distR="114300" simplePos="0" relativeHeight="251670528" behindDoc="0" locked="0" layoutInCell="1" allowOverlap="1" wp14:anchorId="5635B333" wp14:editId="6528982C">
                      <wp:simplePos x="0" y="0"/>
                      <wp:positionH relativeFrom="column">
                        <wp:posOffset>257175</wp:posOffset>
                      </wp:positionH>
                      <wp:positionV relativeFrom="paragraph">
                        <wp:posOffset>0</wp:posOffset>
                      </wp:positionV>
                      <wp:extent cx="0" cy="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25pt;margin-top:0;width:0;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" stroked="f" strokeweight="3e-5mm">
                      <v:textbox inset="2.16pt,1.8pt,2.16pt,0">
                        <w:txbxContent>
                          <w:p w:rsidR="00952AF1" w:rsidRDefault="00952AF1" w:rsidP="0009212F">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09212F">
              <w:rPr>
                <w:noProof/>
                <w:color w:val="404040" w:themeColor="text1" w:themeTint="BF"/>
                <w:sz w:val="18"/>
                <w:szCs w:val="18"/>
                <w:lang w:val="en-AU" w:eastAsia="en-AU"/>
              </w:rPr>
              <mc:AlternateContent>
                <mc:Choice Requires="wps">
                  <w:drawing>
                    <wp:anchor distT="0" distB="0" distL="114300" distR="114300" simplePos="0" relativeHeight="251671552" behindDoc="0" locked="0" layoutInCell="1" allowOverlap="1" wp14:anchorId="6162B85C" wp14:editId="23477C3D">
                      <wp:simplePos x="0" y="0"/>
                      <wp:positionH relativeFrom="column">
                        <wp:posOffset>257175</wp:posOffset>
                      </wp:positionH>
                      <wp:positionV relativeFrom="paragraph">
                        <wp:posOffset>0</wp:posOffset>
                      </wp:positionV>
                      <wp:extent cx="0" cy="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rot="0" vert="horz" wrap="square" lIns="27432" tIns="22860" rIns="27432"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20.25pt;margin-top:0;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" stroked="f" strokeweight="3e-5mm">
                      <v:textbox inset="2.16pt,1.8pt,2.16pt,0">
                        <w:txbxContent>
                          <w:p w:rsidR="00952AF1" w:rsidRDefault="00952AF1" w:rsidP="0009212F">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(a)</w:t>
            </w:r>
          </w:p>
        </w:tc>
        <w:tc>
          <w:tcPr>
            <w:tcW w:w="7188" w:type="dxa"/>
            <w:gridSpan w:val="3"/>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Financial risk management objectives and policies</w:t>
            </w: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733"/>
        </w:trPr>
        <w:tc>
          <w:tcPr>
            <w:tcW w:w="11010" w:type="dxa"/>
            <w:gridSpan w:val="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Financial instruments held by the Commission are cash and cash equivalents, restricted cash and cash equivalents, receivables, payables and Treasurer's advances. The Commission has limited exposure to financial risks. The Commission's overall risk management program focuses on managing the risks identified below.</w:t>
            </w:r>
          </w:p>
        </w:tc>
      </w:tr>
      <w:tr w:rsidR="0009212F" w:rsidRPr="0009212F" w:rsidTr="0009212F">
        <w:trPr>
          <w:trHeight w:val="255"/>
        </w:trPr>
        <w:tc>
          <w:tcPr>
            <w:tcW w:w="146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Credit risk</w:t>
            </w: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510"/>
        </w:trPr>
        <w:tc>
          <w:tcPr>
            <w:tcW w:w="11010" w:type="dxa"/>
            <w:gridSpan w:val="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ind w:left="34" w:hanging="34"/>
              <w:rPr>
                <w:color w:val="404040" w:themeColor="text1" w:themeTint="BF"/>
                <w:sz w:val="18"/>
                <w:szCs w:val="18"/>
                <w:lang w:val="en-AU"/>
              </w:rPr>
            </w:pPr>
            <w:r w:rsidRPr="0009212F">
              <w:rPr>
                <w:color w:val="404040" w:themeColor="text1" w:themeTint="BF"/>
                <w:sz w:val="18"/>
                <w:szCs w:val="18"/>
                <w:lang w:val="en-AU"/>
              </w:rPr>
              <w:t xml:space="preserve">Credit risk arises when there is the possibility of the Commission's receivables defaulting on their contractual obligations resulting in financial loss to the Commission. </w:t>
            </w:r>
          </w:p>
        </w:tc>
      </w:tr>
      <w:tr w:rsidR="0009212F" w:rsidRPr="0009212F" w:rsidTr="0009212F">
        <w:trPr>
          <w:trHeight w:val="240"/>
        </w:trPr>
        <w:tc>
          <w:tcPr>
            <w:tcW w:w="750"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716"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81"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735"/>
        </w:trPr>
        <w:tc>
          <w:tcPr>
            <w:tcW w:w="11010" w:type="dxa"/>
            <w:gridSpan w:val="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ind w:left="34" w:hanging="34"/>
              <w:rPr>
                <w:color w:val="404040" w:themeColor="text1" w:themeTint="BF"/>
                <w:sz w:val="18"/>
                <w:szCs w:val="18"/>
                <w:lang w:val="en-AU"/>
              </w:rPr>
            </w:pPr>
            <w:r w:rsidRPr="0009212F">
              <w:rPr>
                <w:color w:val="404040" w:themeColor="text1" w:themeTint="BF"/>
                <w:sz w:val="18"/>
                <w:szCs w:val="18"/>
                <w:lang w:val="en-AU"/>
              </w:rPr>
              <w:t>The maximum exposure to credit risk at the end of the reporting period in relation to each class of recognised financial assets is the gross carrying amount of those assets inclusive of any allowance for impairment as shown in the table at note 29 (c) 'Financial instrument disclosures' and Note 15 'Receivables'.</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481"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1305"/>
        </w:trPr>
        <w:tc>
          <w:tcPr>
            <w:tcW w:w="11010" w:type="dxa"/>
            <w:gridSpan w:val="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Credit risk associated with the Commission's financial assets is minimal because the main receivable is the amounts receivable for services (holding account). For receivables other than government, the Commission trades only with recognised, creditworthy third parties. The Commission has policies in place to ensure that sales of products and services are made to customers with an appropriate credit history. In addition, receivable balances are monitored on an ongoing basis with the result that the Commission's exposure to bad debts is minimal. At the end of the reporting period there were no significant concentrations of credit risk. </w:t>
            </w:r>
          </w:p>
        </w:tc>
      </w:tr>
      <w:tr w:rsidR="0009212F" w:rsidRPr="0009212F" w:rsidTr="0009212F">
        <w:trPr>
          <w:trHeight w:val="255"/>
        </w:trPr>
        <w:tc>
          <w:tcPr>
            <w:tcW w:w="394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Liquidity risk</w:t>
            </w: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u w:val="single"/>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315"/>
        </w:trPr>
        <w:tc>
          <w:tcPr>
            <w:tcW w:w="11010" w:type="dxa"/>
            <w:gridSpan w:val="6"/>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 xml:space="preserve">Liquidity risk arises when the Commission is unable to meet its financial obligations as they fall due. </w:t>
            </w:r>
          </w:p>
        </w:tc>
      </w:tr>
      <w:tr w:rsidR="0009212F" w:rsidRPr="0009212F" w:rsidTr="0009212F">
        <w:trPr>
          <w:trHeight w:val="255"/>
        </w:trPr>
        <w:tc>
          <w:tcPr>
            <w:tcW w:w="11010" w:type="dxa"/>
            <w:gridSpan w:val="6"/>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The Commission is exposed to liquidity risk through its trading in the normal course of business.</w:t>
            </w:r>
          </w:p>
        </w:tc>
      </w:tr>
      <w:tr w:rsidR="0009212F" w:rsidRPr="0009212F" w:rsidTr="0009212F">
        <w:trPr>
          <w:trHeight w:val="240"/>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510"/>
        </w:trPr>
        <w:tc>
          <w:tcPr>
            <w:tcW w:w="11010" w:type="dxa"/>
            <w:gridSpan w:val="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ind w:left="34" w:hanging="34"/>
              <w:rPr>
                <w:color w:val="404040" w:themeColor="text1" w:themeTint="BF"/>
                <w:sz w:val="18"/>
                <w:szCs w:val="18"/>
                <w:lang w:val="en-AU"/>
              </w:rPr>
            </w:pPr>
            <w:r w:rsidRPr="0009212F">
              <w:rPr>
                <w:color w:val="404040" w:themeColor="text1" w:themeTint="BF"/>
                <w:sz w:val="18"/>
                <w:szCs w:val="18"/>
                <w:lang w:val="en-AU"/>
              </w:rPr>
              <w:t xml:space="preserve">The Commission has appropriate procedures to manage cash flows including drawdown of appropriations by monitoring forecast cash flows to ensure that sufficient funds are available to meet its commitments. </w:t>
            </w:r>
          </w:p>
        </w:tc>
      </w:tr>
      <w:tr w:rsidR="0009212F" w:rsidRPr="0009212F" w:rsidTr="0009212F">
        <w:trPr>
          <w:trHeight w:val="270"/>
        </w:trPr>
        <w:tc>
          <w:tcPr>
            <w:tcW w:w="750"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716"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81"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1466" w:type="dxa"/>
            <w:gridSpan w:val="2"/>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i/>
                <w:iCs/>
                <w:color w:val="404040" w:themeColor="text1" w:themeTint="BF"/>
                <w:sz w:val="18"/>
                <w:szCs w:val="18"/>
                <w:lang w:val="en-AU"/>
              </w:rPr>
            </w:pPr>
            <w:r w:rsidRPr="0009212F">
              <w:rPr>
                <w:i/>
                <w:iCs/>
                <w:color w:val="404040" w:themeColor="text1" w:themeTint="BF"/>
                <w:sz w:val="18"/>
                <w:szCs w:val="18"/>
                <w:lang w:val="en-AU"/>
              </w:rPr>
              <w:t>Market risk</w:t>
            </w: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765"/>
        </w:trPr>
        <w:tc>
          <w:tcPr>
            <w:tcW w:w="11010" w:type="dxa"/>
            <w:gridSpan w:val="6"/>
            <w:tcBorders>
              <w:top w:val="nil"/>
              <w:left w:val="nil"/>
              <w:bottom w:val="nil"/>
              <w:right w:val="nil"/>
            </w:tcBorders>
            <w:shd w:val="clear" w:color="auto" w:fill="auto"/>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Market risk is the risk that changes in market prices such as foreign exchange rates and interest rates will affect the Commission's income or the value of its holdings of financial instruments. The Commission does not trade in foreign currency and is not materially exposed to other price risks. </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716"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(b)</w:t>
            </w:r>
          </w:p>
        </w:tc>
        <w:tc>
          <w:tcPr>
            <w:tcW w:w="7188" w:type="dxa"/>
            <w:gridSpan w:val="3"/>
            <w:tcBorders>
              <w:top w:val="nil"/>
              <w:left w:val="nil"/>
              <w:bottom w:val="nil"/>
              <w:right w:val="nil"/>
            </w:tcBorders>
            <w:shd w:val="clear" w:color="auto" w:fill="auto"/>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Categories of financial instruments</w:t>
            </w: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716" w:type="dxa"/>
            <w:tcBorders>
              <w:top w:val="nil"/>
              <w:left w:val="nil"/>
              <w:bottom w:val="nil"/>
              <w:right w:val="nil"/>
            </w:tcBorders>
            <w:shd w:val="clear" w:color="auto" w:fill="auto"/>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525"/>
        </w:trPr>
        <w:tc>
          <w:tcPr>
            <w:tcW w:w="11010" w:type="dxa"/>
            <w:gridSpan w:val="6"/>
            <w:tcBorders>
              <w:top w:val="nil"/>
              <w:left w:val="nil"/>
              <w:bottom w:val="nil"/>
              <w:right w:val="nil"/>
            </w:tcBorders>
            <w:shd w:val="clear" w:color="auto" w:fill="auto"/>
            <w:vAlign w:val="bottom"/>
            <w:hideMark/>
          </w:tcPr>
          <w:p w:rsidR="0009212F" w:rsidRPr="0009212F" w:rsidRDefault="0009212F" w:rsidP="007D38A8">
            <w:pPr>
              <w:pStyle w:val="BodyCopy"/>
              <w:spacing w:before="40" w:after="40" w:line="160" w:lineRule="atLeast"/>
              <w:rPr>
                <w:color w:val="404040" w:themeColor="text1" w:themeTint="BF"/>
                <w:sz w:val="18"/>
                <w:szCs w:val="18"/>
                <w:lang w:val="en-AU"/>
              </w:rPr>
            </w:pPr>
            <w:r w:rsidRPr="0009212F">
              <w:rPr>
                <w:color w:val="404040" w:themeColor="text1" w:themeTint="BF"/>
                <w:sz w:val="18"/>
                <w:szCs w:val="18"/>
                <w:lang w:val="en-AU"/>
              </w:rPr>
              <w:t xml:space="preserve">The carrying amounts of each of the following categories of financial assets and financial liabilities at the end of the </w:t>
            </w:r>
            <w:r w:rsidR="007D38A8">
              <w:rPr>
                <w:color w:val="404040" w:themeColor="text1" w:themeTint="BF"/>
                <w:sz w:val="18"/>
                <w:szCs w:val="18"/>
                <w:lang w:val="en-AU"/>
              </w:rPr>
              <w:br/>
            </w:r>
            <w:r w:rsidRPr="0009212F">
              <w:rPr>
                <w:color w:val="404040" w:themeColor="text1" w:themeTint="BF"/>
                <w:sz w:val="18"/>
                <w:szCs w:val="18"/>
                <w:lang w:val="en-AU"/>
              </w:rPr>
              <w:t>reporting period are:</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2015</w:t>
            </w: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2014</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b/>
                <w:bCs/>
                <w:color w:val="404040" w:themeColor="text1" w:themeTint="BF"/>
                <w:sz w:val="18"/>
                <w:szCs w:val="18"/>
                <w:lang w:val="en-AU"/>
              </w:rPr>
            </w:pPr>
            <w:r w:rsidRPr="0009212F">
              <w:rPr>
                <w:b/>
                <w:bCs/>
                <w:color w:val="404040" w:themeColor="text1" w:themeTint="BF"/>
                <w:sz w:val="18"/>
                <w:szCs w:val="18"/>
                <w:lang w:val="en-AU"/>
              </w:rPr>
              <w:t>$000</w:t>
            </w:r>
          </w:p>
        </w:tc>
      </w:tr>
      <w:tr w:rsidR="0009212F" w:rsidRPr="0009212F" w:rsidTr="0009212F">
        <w:trPr>
          <w:trHeight w:val="255"/>
        </w:trPr>
        <w:tc>
          <w:tcPr>
            <w:tcW w:w="394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Financial Assets</w:t>
            </w: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7938" w:type="dxa"/>
            <w:gridSpan w:val="4"/>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Cash and cash equivalents</w:t>
            </w: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457</w:t>
            </w: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592</w:t>
            </w:r>
          </w:p>
        </w:tc>
      </w:tr>
      <w:tr w:rsidR="0009212F" w:rsidRPr="0009212F" w:rsidTr="0009212F">
        <w:trPr>
          <w:trHeight w:val="255"/>
        </w:trPr>
        <w:tc>
          <w:tcPr>
            <w:tcW w:w="7938" w:type="dxa"/>
            <w:gridSpan w:val="4"/>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Restricted cash and cash equivalents</w:t>
            </w: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151</w:t>
            </w:r>
          </w:p>
        </w:tc>
        <w:tc>
          <w:tcPr>
            <w:tcW w:w="1596" w:type="dxa"/>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126</w:t>
            </w:r>
          </w:p>
        </w:tc>
      </w:tr>
      <w:tr w:rsidR="0009212F" w:rsidRPr="0009212F" w:rsidTr="0009212F">
        <w:trPr>
          <w:trHeight w:val="285"/>
        </w:trPr>
        <w:tc>
          <w:tcPr>
            <w:tcW w:w="3947" w:type="dxa"/>
            <w:gridSpan w:val="3"/>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Receivables</w:t>
            </w:r>
            <w:r w:rsidRPr="0009212F">
              <w:rPr>
                <w:color w:val="404040" w:themeColor="text1" w:themeTint="BF"/>
                <w:sz w:val="18"/>
                <w:szCs w:val="18"/>
                <w:vertAlign w:val="superscript"/>
                <w:lang w:val="en-AU"/>
              </w:rPr>
              <w:t>(a)</w:t>
            </w: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648</w:t>
            </w: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712</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7938"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u w:val="single"/>
                <w:lang w:val="en-AU"/>
              </w:rPr>
            </w:pPr>
            <w:r w:rsidRPr="0009212F">
              <w:rPr>
                <w:color w:val="404040" w:themeColor="text1" w:themeTint="BF"/>
                <w:sz w:val="18"/>
                <w:szCs w:val="18"/>
                <w:u w:val="single"/>
                <w:lang w:val="en-AU"/>
              </w:rPr>
              <w:t>Financial Liabilities</w:t>
            </w: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7938" w:type="dxa"/>
            <w:gridSpan w:val="4"/>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Financial liabilities measured at amortised cost</w:t>
            </w: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484</w:t>
            </w: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252</w:t>
            </w:r>
          </w:p>
        </w:tc>
      </w:tr>
      <w:tr w:rsidR="0009212F" w:rsidRPr="0009212F" w:rsidTr="0009212F">
        <w:trPr>
          <w:trHeight w:val="255"/>
        </w:trPr>
        <w:tc>
          <w:tcPr>
            <w:tcW w:w="750"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71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248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3991"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47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c>
          <w:tcPr>
            <w:tcW w:w="1596" w:type="dxa"/>
            <w:tcBorders>
              <w:top w:val="nil"/>
              <w:left w:val="nil"/>
              <w:bottom w:val="nil"/>
              <w:right w:val="nil"/>
            </w:tcBorders>
            <w:shd w:val="clear" w:color="auto" w:fill="auto"/>
            <w:noWrap/>
            <w:vAlign w:val="bottom"/>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p>
        </w:tc>
      </w:tr>
      <w:tr w:rsidR="0009212F" w:rsidRPr="0009212F" w:rsidTr="0009212F">
        <w:trPr>
          <w:trHeight w:val="255"/>
        </w:trPr>
        <w:tc>
          <w:tcPr>
            <w:tcW w:w="11010" w:type="dxa"/>
            <w:gridSpan w:val="6"/>
            <w:tcBorders>
              <w:top w:val="nil"/>
              <w:left w:val="nil"/>
              <w:bottom w:val="nil"/>
              <w:right w:val="nil"/>
            </w:tcBorders>
            <w:shd w:val="clear" w:color="auto" w:fill="auto"/>
            <w:noWrap/>
            <w:hideMark/>
          </w:tcPr>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pPr>
            <w:r w:rsidRPr="0009212F">
              <w:rPr>
                <w:color w:val="404040" w:themeColor="text1" w:themeTint="BF"/>
                <w:sz w:val="18"/>
                <w:szCs w:val="18"/>
                <w:lang w:val="en-AU"/>
              </w:rPr>
              <w:t>(a) The amount of receivables excludes GST recoverable from the ATO (statutory receivable).</w:t>
            </w:r>
          </w:p>
        </w:tc>
      </w:tr>
    </w:tbl>
    <w:p w:rsidR="0009212F" w:rsidRPr="0009212F" w:rsidRDefault="0009212F" w:rsidP="0009212F">
      <w:pPr>
        <w:pStyle w:val="BodyCopy"/>
        <w:tabs>
          <w:tab w:val="left" w:pos="709"/>
        </w:tabs>
        <w:spacing w:before="40" w:after="40" w:line="160" w:lineRule="atLeast"/>
        <w:ind w:left="1418" w:hanging="1418"/>
        <w:rPr>
          <w:color w:val="404040" w:themeColor="text1" w:themeTint="BF"/>
          <w:sz w:val="18"/>
          <w:szCs w:val="18"/>
          <w:lang w:val="en-AU"/>
        </w:rPr>
        <w:sectPr w:rsidR="0009212F" w:rsidRPr="0009212F" w:rsidSect="00B149BC">
          <w:footerReference w:type="default" r:id="rId11"/>
          <w:footerReference w:type="first" r:id="rId12"/>
          <w:pgSz w:w="11900" w:h="16840" w:code="9"/>
          <w:pgMar w:top="1134" w:right="737" w:bottom="1134" w:left="567" w:header="720" w:footer="720" w:gutter="0"/>
          <w:pgNumType w:start="28"/>
          <w:cols w:space="720"/>
          <w:titlePg/>
        </w:sectPr>
      </w:pPr>
    </w:p>
    <w:p w:rsidR="00B40057" w:rsidRDefault="00B40057" w:rsidP="007D38A8">
      <w:pPr>
        <w:pStyle w:val="BodyCopy"/>
        <w:tabs>
          <w:tab w:val="left" w:pos="709"/>
        </w:tabs>
        <w:spacing w:before="40" w:after="40" w:line="160" w:lineRule="atLeast"/>
        <w:rPr>
          <w:color w:val="404040" w:themeColor="text1" w:themeTint="BF"/>
          <w:sz w:val="18"/>
          <w:szCs w:val="18"/>
          <w:lang w:val="en-AU"/>
        </w:rPr>
        <w:sectPr w:rsidR="00B40057" w:rsidSect="00B149BC">
          <w:type w:val="continuous"/>
          <w:pgSz w:w="11900" w:h="16840" w:code="9"/>
          <w:pgMar w:top="1134" w:right="737" w:bottom="1134" w:left="567" w:header="720" w:footer="720" w:gutter="0"/>
          <w:pgNumType w:start="28"/>
          <w:cols w:space="720"/>
          <w:titlePg/>
        </w:sectPr>
      </w:pPr>
    </w:p>
    <w:tbl>
      <w:tblPr>
        <w:tblW w:w="15309" w:type="dxa"/>
        <w:tblInd w:w="108" w:type="dxa"/>
        <w:tblLook w:val="04A0" w:firstRow="1" w:lastRow="0" w:firstColumn="1" w:lastColumn="0" w:noHBand="0" w:noVBand="1"/>
      </w:tblPr>
      <w:tblGrid>
        <w:gridCol w:w="750"/>
        <w:gridCol w:w="550"/>
        <w:gridCol w:w="2837"/>
        <w:gridCol w:w="1039"/>
        <w:gridCol w:w="1050"/>
        <w:gridCol w:w="1436"/>
        <w:gridCol w:w="1436"/>
        <w:gridCol w:w="1436"/>
        <w:gridCol w:w="1436"/>
        <w:gridCol w:w="1436"/>
        <w:gridCol w:w="1436"/>
        <w:gridCol w:w="210"/>
        <w:gridCol w:w="257"/>
      </w:tblGrid>
      <w:tr w:rsidR="00B40057" w:rsidRPr="00C06924" w:rsidTr="00B40057">
        <w:trPr>
          <w:trHeight w:val="255"/>
        </w:trPr>
        <w:tc>
          <w:tcPr>
            <w:tcW w:w="15309" w:type="dxa"/>
            <w:gridSpan w:val="13"/>
            <w:tcBorders>
              <w:top w:val="nil"/>
              <w:left w:val="nil"/>
              <w:bottom w:val="nil"/>
              <w:right w:val="nil"/>
            </w:tcBorders>
            <w:shd w:val="clear" w:color="auto" w:fill="auto"/>
            <w:noWrap/>
            <w:vAlign w:val="bottom"/>
            <w:hideMark/>
          </w:tcPr>
          <w:p w:rsidR="00B40057" w:rsidRPr="00C06924" w:rsidRDefault="00B40057" w:rsidP="00B40057">
            <w:pPr>
              <w:jc w:val="right"/>
              <w:rPr>
                <w:rFonts w:ascii="Arial" w:hAnsi="Arial" w:cs="Arial"/>
                <w:b/>
                <w:bCs/>
                <w:color w:val="000000"/>
                <w:sz w:val="20"/>
              </w:rPr>
            </w:pPr>
            <w:r w:rsidRPr="00C06924">
              <w:rPr>
                <w:rFonts w:ascii="Arial" w:hAnsi="Arial" w:cs="Arial"/>
                <w:b/>
                <w:bCs/>
                <w:color w:val="000000"/>
                <w:sz w:val="20"/>
              </w:rPr>
              <w:lastRenderedPageBreak/>
              <w:t>Western Australian Electoral Commission - 30 June 2015</w:t>
            </w:r>
          </w:p>
        </w:tc>
      </w:tr>
      <w:tr w:rsidR="00B40057" w:rsidRPr="00C06924" w:rsidTr="00B40057">
        <w:trPr>
          <w:trHeight w:val="260"/>
        </w:trPr>
        <w:tc>
          <w:tcPr>
            <w:tcW w:w="7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i/>
                <w:iCs/>
                <w:szCs w:val="24"/>
              </w:rPr>
            </w:pPr>
            <w:r w:rsidRPr="00C06924">
              <w:rPr>
                <w:rFonts w:ascii="Arial" w:hAnsi="Arial" w:cs="Arial"/>
                <w:b/>
                <w:bCs/>
                <w:i/>
                <w:iCs/>
                <w:szCs w:val="24"/>
              </w:rPr>
              <w:t xml:space="preserve">Note </w:t>
            </w:r>
          </w:p>
        </w:tc>
        <w:tc>
          <w:tcPr>
            <w:tcW w:w="5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i/>
                <w:iCs/>
                <w:szCs w:val="24"/>
              </w:rPr>
            </w:pPr>
            <w:r w:rsidRPr="00C06924">
              <w:rPr>
                <w:rFonts w:ascii="Arial" w:hAnsi="Arial" w:cs="Arial"/>
                <w:b/>
                <w:bCs/>
                <w:i/>
                <w:iCs/>
                <w:szCs w:val="24"/>
              </w:rPr>
              <w:t>29.</w:t>
            </w:r>
          </w:p>
        </w:tc>
        <w:tc>
          <w:tcPr>
            <w:tcW w:w="2837"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i/>
                <w:iCs/>
                <w:szCs w:val="24"/>
              </w:rPr>
            </w:pPr>
            <w:r w:rsidRPr="00C06924">
              <w:rPr>
                <w:rFonts w:ascii="Arial" w:hAnsi="Arial" w:cs="Arial"/>
                <w:b/>
                <w:bCs/>
                <w:i/>
                <w:iCs/>
                <w:szCs w:val="24"/>
              </w:rPr>
              <w:t>continued</w:t>
            </w:r>
          </w:p>
        </w:tc>
        <w:tc>
          <w:tcPr>
            <w:tcW w:w="1039"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i/>
                <w:iCs/>
                <w:szCs w:val="24"/>
              </w:rPr>
            </w:pP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i/>
                <w:iCs/>
                <w:szCs w:val="24"/>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i/>
                <w:iCs/>
                <w:szCs w:val="24"/>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i/>
                <w:iCs/>
                <w:szCs w:val="24"/>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i/>
                <w:iCs/>
                <w:szCs w:val="24"/>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i/>
                <w:iCs/>
                <w:szCs w:val="24"/>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i/>
                <w:iCs/>
                <w:szCs w:val="24"/>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i/>
                <w:iCs/>
                <w:szCs w:val="24"/>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i/>
                <w:iCs/>
                <w:szCs w:val="24"/>
              </w:rPr>
            </w:pPr>
          </w:p>
        </w:tc>
      </w:tr>
      <w:tr w:rsidR="00B40057" w:rsidRPr="00C06924" w:rsidTr="00B40057">
        <w:trPr>
          <w:trHeight w:val="168"/>
        </w:trPr>
        <w:tc>
          <w:tcPr>
            <w:tcW w:w="7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39"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trHeight w:val="255"/>
        </w:trPr>
        <w:tc>
          <w:tcPr>
            <w:tcW w:w="4137" w:type="dxa"/>
            <w:gridSpan w:val="3"/>
            <w:tcBorders>
              <w:top w:val="nil"/>
              <w:left w:val="nil"/>
              <w:bottom w:val="nil"/>
              <w:right w:val="nil"/>
            </w:tcBorders>
            <w:shd w:val="clear" w:color="auto" w:fill="auto"/>
            <w:noWrap/>
            <w:hideMark/>
          </w:tcPr>
          <w:p w:rsidR="00B40057" w:rsidRPr="00C06924" w:rsidRDefault="00B40057" w:rsidP="00B40057">
            <w:pPr>
              <w:spacing w:after="0" w:line="240" w:lineRule="auto"/>
              <w:rPr>
                <w:rFonts w:ascii="Arial" w:hAnsi="Arial" w:cs="Arial"/>
                <w:b/>
                <w:bCs/>
                <w:sz w:val="20"/>
              </w:rPr>
            </w:pPr>
            <w:r w:rsidRPr="00C06924">
              <w:rPr>
                <w:rFonts w:ascii="Arial" w:hAnsi="Arial" w:cs="Arial"/>
                <w:b/>
                <w:bCs/>
                <w:sz w:val="20"/>
              </w:rPr>
              <w:t>(c)  Financial instrument disclosures</w:t>
            </w:r>
          </w:p>
        </w:tc>
        <w:tc>
          <w:tcPr>
            <w:tcW w:w="1039" w:type="dxa"/>
            <w:tcBorders>
              <w:top w:val="nil"/>
              <w:left w:val="nil"/>
              <w:bottom w:val="nil"/>
              <w:right w:val="nil"/>
            </w:tcBorders>
            <w:shd w:val="clear" w:color="auto" w:fill="auto"/>
            <w:noWrap/>
            <w:hideMark/>
          </w:tcPr>
          <w:p w:rsidR="00B40057" w:rsidRPr="00C06924" w:rsidRDefault="00B40057" w:rsidP="00B40057">
            <w:pPr>
              <w:spacing w:after="0" w:line="240" w:lineRule="auto"/>
              <w:rPr>
                <w:rFonts w:ascii="Arial" w:hAnsi="Arial" w:cs="Arial"/>
                <w:sz w:val="20"/>
              </w:rPr>
            </w:pPr>
          </w:p>
        </w:tc>
        <w:tc>
          <w:tcPr>
            <w:tcW w:w="1050" w:type="dxa"/>
            <w:tcBorders>
              <w:top w:val="nil"/>
              <w:left w:val="nil"/>
              <w:bottom w:val="nil"/>
              <w:right w:val="nil"/>
            </w:tcBorders>
            <w:shd w:val="clear" w:color="auto" w:fill="auto"/>
            <w:noWrap/>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trHeight w:val="255"/>
        </w:trPr>
        <w:tc>
          <w:tcPr>
            <w:tcW w:w="7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39"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trHeight w:val="330"/>
        </w:trPr>
        <w:tc>
          <w:tcPr>
            <w:tcW w:w="1300" w:type="dxa"/>
            <w:gridSpan w:val="2"/>
            <w:tcBorders>
              <w:top w:val="nil"/>
              <w:left w:val="nil"/>
              <w:bottom w:val="nil"/>
              <w:right w:val="nil"/>
            </w:tcBorders>
            <w:shd w:val="clear" w:color="auto" w:fill="auto"/>
            <w:noWrap/>
            <w:hideMark/>
          </w:tcPr>
          <w:p w:rsidR="00B40057" w:rsidRPr="00C06924" w:rsidRDefault="00B40057" w:rsidP="00B40057">
            <w:pPr>
              <w:spacing w:after="0" w:line="240" w:lineRule="auto"/>
              <w:rPr>
                <w:rFonts w:ascii="Arial" w:hAnsi="Arial" w:cs="Arial"/>
                <w:i/>
                <w:iCs/>
                <w:sz w:val="20"/>
              </w:rPr>
            </w:pPr>
            <w:r w:rsidRPr="00C06924">
              <w:rPr>
                <w:rFonts w:ascii="Arial" w:hAnsi="Arial" w:cs="Arial"/>
                <w:i/>
                <w:iCs/>
                <w:sz w:val="20"/>
              </w:rPr>
              <w:t>Credit risk</w:t>
            </w:r>
          </w:p>
        </w:tc>
        <w:tc>
          <w:tcPr>
            <w:tcW w:w="2837"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39"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u w:val="single"/>
              </w:rPr>
            </w:pP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u w:val="single"/>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u w:val="single"/>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u w:val="single"/>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u w:val="single"/>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u w:val="single"/>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u w:val="single"/>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u w:val="single"/>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u w:val="single"/>
              </w:rPr>
            </w:pPr>
          </w:p>
        </w:tc>
      </w:tr>
      <w:tr w:rsidR="00B40057" w:rsidRPr="00C06924" w:rsidTr="00B40057">
        <w:trPr>
          <w:gridAfter w:val="1"/>
          <w:wAfter w:w="257" w:type="dxa"/>
          <w:trHeight w:val="840"/>
        </w:trPr>
        <w:tc>
          <w:tcPr>
            <w:tcW w:w="15052" w:type="dxa"/>
            <w:gridSpan w:val="12"/>
            <w:tcBorders>
              <w:top w:val="nil"/>
              <w:left w:val="nil"/>
              <w:bottom w:val="nil"/>
              <w:right w:val="nil"/>
            </w:tcBorders>
            <w:shd w:val="clear" w:color="auto" w:fill="auto"/>
            <w:vAlign w:val="bottom"/>
            <w:hideMark/>
          </w:tcPr>
          <w:p w:rsidR="00B40057" w:rsidRPr="00C06924" w:rsidRDefault="00B40057" w:rsidP="00B40057">
            <w:pPr>
              <w:spacing w:after="0" w:line="240" w:lineRule="auto"/>
              <w:rPr>
                <w:rFonts w:ascii="Arial" w:hAnsi="Arial" w:cs="Arial"/>
                <w:sz w:val="20"/>
              </w:rPr>
            </w:pPr>
            <w:r w:rsidRPr="00C06924">
              <w:rPr>
                <w:rFonts w:ascii="Arial" w:hAnsi="Arial" w:cs="Arial"/>
                <w:sz w:val="20"/>
              </w:rPr>
              <w:t>The following table details the Commission's maximum exposure to credit risk and the ageing analysis of financial assets. The Commission's maximum exposure to credit risk at the end of the reporting period is the carrying amount of financial assets as shown below. The table discloses the ageing of financial assets that are past due but not impaired and impaired financial assets.  The table is based on information provided to senior management of the Commission.</w:t>
            </w:r>
          </w:p>
        </w:tc>
      </w:tr>
      <w:tr w:rsidR="00B40057" w:rsidRPr="00C06924" w:rsidTr="00B40057">
        <w:trPr>
          <w:trHeight w:val="94"/>
        </w:trPr>
        <w:tc>
          <w:tcPr>
            <w:tcW w:w="7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39"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gridAfter w:val="1"/>
          <w:wAfter w:w="257" w:type="dxa"/>
          <w:trHeight w:val="255"/>
        </w:trPr>
        <w:tc>
          <w:tcPr>
            <w:tcW w:w="15052" w:type="dxa"/>
            <w:gridSpan w:val="12"/>
            <w:tcBorders>
              <w:top w:val="nil"/>
              <w:left w:val="nil"/>
              <w:bottom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r w:rsidRPr="00C06924">
              <w:rPr>
                <w:rFonts w:ascii="Arial" w:hAnsi="Arial" w:cs="Arial"/>
                <w:sz w:val="20"/>
              </w:rPr>
              <w:t>The Commission does not hold any collateral as security or other credit enhancement relating to the financial assets it holds.</w:t>
            </w:r>
          </w:p>
        </w:tc>
      </w:tr>
      <w:tr w:rsidR="00B40057" w:rsidRPr="00C06924" w:rsidTr="00B40057">
        <w:trPr>
          <w:trHeight w:val="255"/>
        </w:trPr>
        <w:tc>
          <w:tcPr>
            <w:tcW w:w="7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39"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center"/>
              <w:rPr>
                <w:rFonts w:ascii="Arial" w:hAnsi="Arial" w:cs="Arial"/>
                <w:sz w:val="20"/>
                <w:u w:val="single"/>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center"/>
              <w:rPr>
                <w:rFonts w:ascii="Arial" w:hAnsi="Arial" w:cs="Arial"/>
                <w:sz w:val="20"/>
                <w:u w:val="single"/>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center"/>
              <w:rPr>
                <w:rFonts w:ascii="Arial" w:hAnsi="Arial" w:cs="Arial"/>
                <w:sz w:val="20"/>
                <w:u w:val="single"/>
              </w:rPr>
            </w:pP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B40057">
            <w:pPr>
              <w:spacing w:after="0" w:line="240" w:lineRule="auto"/>
              <w:jc w:val="center"/>
              <w:rPr>
                <w:rFonts w:ascii="Arial" w:hAnsi="Arial" w:cs="Arial"/>
                <w:sz w:val="20"/>
                <w:u w:val="single"/>
              </w:rPr>
            </w:pPr>
            <w:r w:rsidRPr="00C06924">
              <w:rPr>
                <w:rFonts w:ascii="Arial" w:hAnsi="Arial" w:cs="Arial"/>
                <w:sz w:val="20"/>
                <w:u w:val="single"/>
              </w:rPr>
              <w:t> </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trHeight w:val="255"/>
        </w:trPr>
        <w:tc>
          <w:tcPr>
            <w:tcW w:w="7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2837" w:type="dxa"/>
            <w:tcBorders>
              <w:top w:val="nil"/>
              <w:left w:val="nil"/>
              <w:bottom w:val="nil"/>
              <w:right w:val="nil"/>
            </w:tcBorders>
            <w:shd w:val="clear" w:color="auto" w:fill="auto"/>
            <w:hideMark/>
          </w:tcPr>
          <w:p w:rsidR="00B40057" w:rsidRPr="00C06924" w:rsidRDefault="00B40057" w:rsidP="00B40057">
            <w:pPr>
              <w:spacing w:after="0" w:line="240" w:lineRule="auto"/>
              <w:rPr>
                <w:sz w:val="20"/>
              </w:rPr>
            </w:pPr>
          </w:p>
        </w:tc>
        <w:tc>
          <w:tcPr>
            <w:tcW w:w="1039"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center"/>
              <w:rPr>
                <w:rFonts w:ascii="Arial" w:hAnsi="Arial" w:cs="Arial"/>
                <w:sz w:val="20"/>
              </w:rPr>
            </w:pP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sz w:val="20"/>
              </w:rPr>
            </w:pP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r w:rsidRPr="00C06924">
              <w:rPr>
                <w:rFonts w:ascii="Arial" w:hAnsi="Arial" w:cs="Arial"/>
                <w:sz w:val="20"/>
              </w:rPr>
              <w:t> </w:t>
            </w:r>
          </w:p>
        </w:tc>
        <w:tc>
          <w:tcPr>
            <w:tcW w:w="4308" w:type="dxa"/>
            <w:gridSpan w:val="3"/>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center"/>
              <w:rPr>
                <w:rFonts w:ascii="Arial" w:hAnsi="Arial" w:cs="Arial"/>
                <w:b/>
                <w:bCs/>
                <w:sz w:val="20"/>
              </w:rPr>
            </w:pPr>
            <w:r w:rsidRPr="00C06924">
              <w:rPr>
                <w:rFonts w:ascii="Arial" w:hAnsi="Arial" w:cs="Arial"/>
                <w:b/>
                <w:bCs/>
                <w:sz w:val="20"/>
              </w:rPr>
              <w:t>Past due but not impaired</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B40057">
            <w:pPr>
              <w:spacing w:after="0" w:line="240" w:lineRule="auto"/>
              <w:rPr>
                <w:rFonts w:ascii="Arial" w:hAnsi="Arial" w:cs="Arial"/>
                <w:sz w:val="20"/>
              </w:rPr>
            </w:pPr>
            <w:r w:rsidRPr="00C06924">
              <w:rPr>
                <w:rFonts w:ascii="Arial" w:hAnsi="Arial" w:cs="Arial"/>
                <w:sz w:val="20"/>
              </w:rPr>
              <w:t> </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trHeight w:val="255"/>
        </w:trPr>
        <w:tc>
          <w:tcPr>
            <w:tcW w:w="7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39" w:type="dxa"/>
            <w:tcBorders>
              <w:top w:val="nil"/>
              <w:left w:val="nil"/>
              <w:bottom w:val="nil"/>
              <w:right w:val="nil"/>
            </w:tcBorders>
            <w:shd w:val="clear" w:color="000000" w:fill="C0C0C0"/>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 xml:space="preserve">Carrying </w:t>
            </w: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Not past due</w:t>
            </w: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B40057">
            <w:pPr>
              <w:spacing w:after="0" w:line="240" w:lineRule="auto"/>
              <w:jc w:val="center"/>
              <w:rPr>
                <w:rFonts w:ascii="Arial" w:hAnsi="Arial" w:cs="Arial"/>
                <w:b/>
                <w:bCs/>
                <w:sz w:val="20"/>
              </w:rPr>
            </w:pPr>
            <w:r w:rsidRPr="00C06924">
              <w:rPr>
                <w:rFonts w:ascii="Arial" w:hAnsi="Arial" w:cs="Arial"/>
                <w:b/>
                <w:bCs/>
                <w:sz w:val="20"/>
              </w:rPr>
              <w:t> </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center"/>
              <w:rPr>
                <w:rFonts w:ascii="Arial" w:hAnsi="Arial" w:cs="Arial"/>
                <w:b/>
                <w:bCs/>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b/>
                <w:bCs/>
                <w:sz w:val="20"/>
              </w:rPr>
            </w:pP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More</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Impaired</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trHeight w:val="255"/>
        </w:trPr>
        <w:tc>
          <w:tcPr>
            <w:tcW w:w="7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39" w:type="dxa"/>
            <w:tcBorders>
              <w:top w:val="nil"/>
              <w:left w:val="nil"/>
              <w:bottom w:val="nil"/>
              <w:right w:val="nil"/>
            </w:tcBorders>
            <w:shd w:val="clear" w:color="000000" w:fill="C0C0C0"/>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Amount</w:t>
            </w: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and not</w:t>
            </w: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Up to 1</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 xml:space="preserve"> 1 - 3 </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 xml:space="preserve">3 months to </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1-5</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than 5</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 xml:space="preserve">financial </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trHeight w:val="255"/>
        </w:trPr>
        <w:tc>
          <w:tcPr>
            <w:tcW w:w="7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39" w:type="dxa"/>
            <w:tcBorders>
              <w:top w:val="nil"/>
              <w:left w:val="nil"/>
              <w:bottom w:val="nil"/>
              <w:right w:val="nil"/>
            </w:tcBorders>
            <w:shd w:val="clear" w:color="000000" w:fill="C0C0C0"/>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 </w:t>
            </w: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impaired</w:t>
            </w: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month</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 xml:space="preserve"> months</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1 year</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years</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years</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assets</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trHeight w:val="255"/>
        </w:trPr>
        <w:tc>
          <w:tcPr>
            <w:tcW w:w="7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039" w:type="dxa"/>
            <w:tcBorders>
              <w:top w:val="nil"/>
              <w:left w:val="nil"/>
              <w:bottom w:val="nil"/>
              <w:right w:val="nil"/>
            </w:tcBorders>
            <w:shd w:val="clear" w:color="000000" w:fill="C0C0C0"/>
            <w:noWrap/>
            <w:vAlign w:val="bottom"/>
            <w:hideMark/>
          </w:tcPr>
          <w:p w:rsidR="00B40057" w:rsidRPr="00C06924" w:rsidRDefault="00B40057" w:rsidP="00B40057">
            <w:pPr>
              <w:spacing w:after="0" w:line="240" w:lineRule="auto"/>
              <w:jc w:val="right"/>
              <w:rPr>
                <w:rFonts w:ascii="Arial" w:hAnsi="Arial" w:cs="Arial"/>
                <w:sz w:val="20"/>
              </w:rPr>
            </w:pPr>
            <w:r w:rsidRPr="00C06924">
              <w:rPr>
                <w:rFonts w:ascii="Arial" w:hAnsi="Arial" w:cs="Arial"/>
                <w:sz w:val="20"/>
              </w:rPr>
              <w:t> </w:t>
            </w:r>
          </w:p>
        </w:tc>
        <w:tc>
          <w:tcPr>
            <w:tcW w:w="1050"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sz w:val="20"/>
              </w:rPr>
            </w:pP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r w:rsidRPr="00C06924">
              <w:rPr>
                <w:rFonts w:ascii="Arial" w:hAnsi="Arial" w:cs="Arial"/>
                <w:sz w:val="20"/>
              </w:rPr>
              <w:t> </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center"/>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center"/>
              <w:rPr>
                <w:rFonts w:ascii="Arial" w:hAnsi="Arial" w:cs="Arial"/>
                <w:sz w:val="20"/>
              </w:rPr>
            </w:pP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B40057">
            <w:pPr>
              <w:spacing w:after="0" w:line="240" w:lineRule="auto"/>
              <w:jc w:val="center"/>
              <w:rPr>
                <w:rFonts w:ascii="Arial" w:hAnsi="Arial" w:cs="Arial"/>
                <w:sz w:val="20"/>
              </w:rPr>
            </w:pPr>
            <w:r w:rsidRPr="00C06924">
              <w:rPr>
                <w:rFonts w:ascii="Arial" w:hAnsi="Arial" w:cs="Arial"/>
                <w:sz w:val="20"/>
              </w:rPr>
              <w:t> </w:t>
            </w:r>
          </w:p>
        </w:tc>
        <w:tc>
          <w:tcPr>
            <w:tcW w:w="1436" w:type="dxa"/>
            <w:tcBorders>
              <w:top w:val="nil"/>
              <w:left w:val="nil"/>
              <w:bottom w:val="nil"/>
              <w:right w:val="nil"/>
            </w:tcBorders>
            <w:shd w:val="clear" w:color="auto" w:fill="auto"/>
            <w:noWrap/>
            <w:vAlign w:val="bottom"/>
            <w:hideMark/>
          </w:tcPr>
          <w:p w:rsidR="00B40057" w:rsidRPr="00C06924" w:rsidRDefault="00B40057" w:rsidP="00B40057">
            <w:pPr>
              <w:spacing w:after="0" w:line="240" w:lineRule="auto"/>
              <w:jc w:val="center"/>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trHeight w:val="255"/>
        </w:trPr>
        <w:tc>
          <w:tcPr>
            <w:tcW w:w="750" w:type="dxa"/>
            <w:tcBorders>
              <w:top w:val="nil"/>
              <w:left w:val="nil"/>
              <w:bottom w:val="single" w:sz="4" w:space="0" w:color="auto"/>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r w:rsidRPr="00C06924">
              <w:rPr>
                <w:rFonts w:ascii="Arial" w:hAnsi="Arial" w:cs="Arial"/>
                <w:sz w:val="20"/>
              </w:rPr>
              <w:t> </w:t>
            </w:r>
          </w:p>
        </w:tc>
        <w:tc>
          <w:tcPr>
            <w:tcW w:w="550" w:type="dxa"/>
            <w:tcBorders>
              <w:top w:val="nil"/>
              <w:left w:val="nil"/>
              <w:bottom w:val="single" w:sz="4" w:space="0" w:color="auto"/>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r w:rsidRPr="00C06924">
              <w:rPr>
                <w:rFonts w:ascii="Arial" w:hAnsi="Arial" w:cs="Arial"/>
                <w:sz w:val="20"/>
              </w:rPr>
              <w:t> </w:t>
            </w:r>
          </w:p>
        </w:tc>
        <w:tc>
          <w:tcPr>
            <w:tcW w:w="2837" w:type="dxa"/>
            <w:tcBorders>
              <w:top w:val="nil"/>
              <w:left w:val="nil"/>
              <w:bottom w:val="single" w:sz="4" w:space="0" w:color="auto"/>
              <w:right w:val="nil"/>
            </w:tcBorders>
            <w:shd w:val="clear" w:color="auto" w:fill="auto"/>
            <w:noWrap/>
            <w:vAlign w:val="bottom"/>
            <w:hideMark/>
          </w:tcPr>
          <w:p w:rsidR="00B40057" w:rsidRPr="00C06924" w:rsidRDefault="00B40057" w:rsidP="00B40057">
            <w:pPr>
              <w:spacing w:after="0" w:line="240" w:lineRule="auto"/>
              <w:rPr>
                <w:rFonts w:ascii="Arial" w:hAnsi="Arial" w:cs="Arial"/>
                <w:b/>
                <w:bCs/>
                <w:sz w:val="20"/>
              </w:rPr>
            </w:pPr>
            <w:r w:rsidRPr="00C06924">
              <w:rPr>
                <w:rFonts w:ascii="Arial" w:hAnsi="Arial" w:cs="Arial"/>
                <w:b/>
                <w:bCs/>
                <w:sz w:val="20"/>
              </w:rPr>
              <w:t> </w:t>
            </w:r>
          </w:p>
        </w:tc>
        <w:tc>
          <w:tcPr>
            <w:tcW w:w="1039" w:type="dxa"/>
            <w:tcBorders>
              <w:top w:val="nil"/>
              <w:left w:val="nil"/>
              <w:bottom w:val="single" w:sz="4" w:space="0" w:color="auto"/>
              <w:right w:val="nil"/>
            </w:tcBorders>
            <w:shd w:val="clear" w:color="000000" w:fill="C0C0C0"/>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$000</w:t>
            </w:r>
          </w:p>
        </w:tc>
        <w:tc>
          <w:tcPr>
            <w:tcW w:w="1050" w:type="dxa"/>
            <w:tcBorders>
              <w:top w:val="nil"/>
              <w:left w:val="nil"/>
              <w:bottom w:val="single" w:sz="4" w:space="0" w:color="auto"/>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$000</w:t>
            </w:r>
          </w:p>
        </w:tc>
        <w:tc>
          <w:tcPr>
            <w:tcW w:w="1436" w:type="dxa"/>
            <w:tcBorders>
              <w:top w:val="nil"/>
              <w:left w:val="single" w:sz="8" w:space="0" w:color="auto"/>
              <w:bottom w:val="single" w:sz="4" w:space="0" w:color="auto"/>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$000</w:t>
            </w:r>
          </w:p>
        </w:tc>
        <w:tc>
          <w:tcPr>
            <w:tcW w:w="1436" w:type="dxa"/>
            <w:tcBorders>
              <w:top w:val="nil"/>
              <w:left w:val="nil"/>
              <w:bottom w:val="single" w:sz="4" w:space="0" w:color="auto"/>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$000</w:t>
            </w:r>
          </w:p>
        </w:tc>
        <w:tc>
          <w:tcPr>
            <w:tcW w:w="1436" w:type="dxa"/>
            <w:tcBorders>
              <w:top w:val="nil"/>
              <w:left w:val="nil"/>
              <w:bottom w:val="single" w:sz="4" w:space="0" w:color="auto"/>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$000</w:t>
            </w:r>
          </w:p>
        </w:tc>
        <w:tc>
          <w:tcPr>
            <w:tcW w:w="1436" w:type="dxa"/>
            <w:tcBorders>
              <w:top w:val="nil"/>
              <w:left w:val="nil"/>
              <w:bottom w:val="single" w:sz="4" w:space="0" w:color="auto"/>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$000</w:t>
            </w:r>
          </w:p>
        </w:tc>
        <w:tc>
          <w:tcPr>
            <w:tcW w:w="1436" w:type="dxa"/>
            <w:tcBorders>
              <w:top w:val="nil"/>
              <w:left w:val="nil"/>
              <w:bottom w:val="single" w:sz="4" w:space="0" w:color="auto"/>
              <w:right w:val="single" w:sz="8" w:space="0" w:color="auto"/>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$000</w:t>
            </w:r>
          </w:p>
        </w:tc>
        <w:tc>
          <w:tcPr>
            <w:tcW w:w="1436" w:type="dxa"/>
            <w:tcBorders>
              <w:top w:val="nil"/>
              <w:left w:val="nil"/>
              <w:bottom w:val="single" w:sz="4" w:space="0" w:color="auto"/>
              <w:right w:val="nil"/>
            </w:tcBorders>
            <w:shd w:val="clear" w:color="auto" w:fill="auto"/>
            <w:noWrap/>
            <w:vAlign w:val="bottom"/>
            <w:hideMark/>
          </w:tcPr>
          <w:p w:rsidR="00B40057" w:rsidRPr="00C06924" w:rsidRDefault="00B40057" w:rsidP="00B40057">
            <w:pPr>
              <w:spacing w:after="0" w:line="240" w:lineRule="auto"/>
              <w:jc w:val="right"/>
              <w:rPr>
                <w:rFonts w:ascii="Arial" w:hAnsi="Arial" w:cs="Arial"/>
                <w:b/>
                <w:bCs/>
                <w:sz w:val="20"/>
              </w:rPr>
            </w:pPr>
            <w:r w:rsidRPr="00C06924">
              <w:rPr>
                <w:rFonts w:ascii="Arial" w:hAnsi="Arial" w:cs="Arial"/>
                <w:b/>
                <w:bCs/>
                <w:sz w:val="20"/>
              </w:rPr>
              <w:t>$000</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B40057">
            <w:pPr>
              <w:spacing w:after="0" w:line="240" w:lineRule="auto"/>
              <w:rPr>
                <w:rFonts w:ascii="Arial" w:hAnsi="Arial" w:cs="Arial"/>
                <w:sz w:val="20"/>
              </w:rPr>
            </w:pPr>
          </w:p>
        </w:tc>
      </w:tr>
      <w:tr w:rsidR="00B40057" w:rsidRPr="00C06924" w:rsidTr="00B40057">
        <w:trPr>
          <w:trHeight w:val="255"/>
        </w:trPr>
        <w:tc>
          <w:tcPr>
            <w:tcW w:w="7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jc w:val="center"/>
              <w:rPr>
                <w:rFonts w:ascii="Arial" w:hAnsi="Arial" w:cs="Arial"/>
                <w:b/>
                <w:bCs/>
                <w:sz w:val="20"/>
              </w:rPr>
            </w:pPr>
            <w:r w:rsidRPr="00C06924">
              <w:rPr>
                <w:rFonts w:ascii="Arial" w:hAnsi="Arial" w:cs="Arial"/>
                <w:b/>
                <w:bCs/>
                <w:sz w:val="20"/>
              </w:rPr>
              <w:t> </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b/>
                <w:bCs/>
                <w:sz w:val="20"/>
              </w:rPr>
            </w:pP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b/>
                <w:bCs/>
                <w:sz w:val="20"/>
              </w:rPr>
            </w:pPr>
            <w:r w:rsidRPr="00C06924">
              <w:rPr>
                <w:rFonts w:ascii="Arial" w:hAnsi="Arial" w:cs="Arial"/>
                <w:b/>
                <w:bCs/>
                <w:sz w:val="20"/>
              </w:rPr>
              <w:t> </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b/>
                <w:bCs/>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r w:rsidRPr="00C06924">
              <w:rPr>
                <w:rFonts w:ascii="Arial" w:hAnsi="Arial" w:cs="Arial"/>
                <w:sz w:val="20"/>
              </w:rPr>
              <w:t> </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55"/>
        </w:trPr>
        <w:tc>
          <w:tcPr>
            <w:tcW w:w="7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b/>
                <w:bCs/>
                <w:sz w:val="20"/>
              </w:rPr>
            </w:pPr>
            <w:r w:rsidRPr="00C06924">
              <w:rPr>
                <w:rFonts w:ascii="Arial" w:hAnsi="Arial" w:cs="Arial"/>
                <w:b/>
                <w:bCs/>
                <w:sz w:val="20"/>
              </w:rPr>
              <w:t>2015</w:t>
            </w:r>
          </w:p>
        </w:tc>
        <w:tc>
          <w:tcPr>
            <w:tcW w:w="5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 </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 </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 </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55"/>
        </w:trPr>
        <w:tc>
          <w:tcPr>
            <w:tcW w:w="4137" w:type="dxa"/>
            <w:gridSpan w:val="3"/>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Cash and cash equivalents</w:t>
            </w: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457</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457</w:t>
            </w: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5D6CF9">
        <w:trPr>
          <w:trHeight w:val="156"/>
        </w:trPr>
        <w:tc>
          <w:tcPr>
            <w:tcW w:w="4137" w:type="dxa"/>
            <w:gridSpan w:val="3"/>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Restricted cash and cash equivalents</w:t>
            </w: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151</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151</w:t>
            </w: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85"/>
        </w:trPr>
        <w:tc>
          <w:tcPr>
            <w:tcW w:w="4137" w:type="dxa"/>
            <w:gridSpan w:val="3"/>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 xml:space="preserve">Receivables </w:t>
            </w:r>
            <w:r w:rsidRPr="00C06924">
              <w:rPr>
                <w:rFonts w:ascii="Arial" w:hAnsi="Arial" w:cs="Arial"/>
                <w:sz w:val="20"/>
                <w:vertAlign w:val="superscript"/>
              </w:rPr>
              <w:t>(a)</w:t>
            </w: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40</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40</w:t>
            </w: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55"/>
        </w:trPr>
        <w:tc>
          <w:tcPr>
            <w:tcW w:w="4137" w:type="dxa"/>
            <w:gridSpan w:val="3"/>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Amounts receivable for services</w:t>
            </w: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608</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608</w:t>
            </w: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70"/>
        </w:trPr>
        <w:tc>
          <w:tcPr>
            <w:tcW w:w="7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u w:val="single"/>
              </w:rPr>
            </w:pPr>
          </w:p>
        </w:tc>
        <w:tc>
          <w:tcPr>
            <w:tcW w:w="5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1039" w:type="dxa"/>
            <w:tcBorders>
              <w:top w:val="single" w:sz="4" w:space="0" w:color="auto"/>
              <w:left w:val="nil"/>
              <w:bottom w:val="double" w:sz="6" w:space="0" w:color="auto"/>
              <w:right w:val="nil"/>
            </w:tcBorders>
            <w:shd w:val="clear" w:color="000000" w:fill="C0C0C0"/>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1,256</w:t>
            </w:r>
          </w:p>
        </w:tc>
        <w:tc>
          <w:tcPr>
            <w:tcW w:w="1050" w:type="dxa"/>
            <w:tcBorders>
              <w:top w:val="single" w:sz="4" w:space="0" w:color="auto"/>
              <w:left w:val="nil"/>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1,256</w:t>
            </w:r>
          </w:p>
        </w:tc>
        <w:tc>
          <w:tcPr>
            <w:tcW w:w="1436" w:type="dxa"/>
            <w:tcBorders>
              <w:top w:val="single" w:sz="4" w:space="0" w:color="auto"/>
              <w:left w:val="single" w:sz="8" w:space="0" w:color="auto"/>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1436" w:type="dxa"/>
            <w:tcBorders>
              <w:top w:val="single" w:sz="4" w:space="0" w:color="auto"/>
              <w:left w:val="nil"/>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1436" w:type="dxa"/>
            <w:tcBorders>
              <w:top w:val="single" w:sz="4" w:space="0" w:color="auto"/>
              <w:left w:val="nil"/>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1436" w:type="dxa"/>
            <w:tcBorders>
              <w:top w:val="single" w:sz="4" w:space="0" w:color="auto"/>
              <w:left w:val="nil"/>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1436" w:type="dxa"/>
            <w:tcBorders>
              <w:top w:val="single" w:sz="4" w:space="0" w:color="auto"/>
              <w:left w:val="nil"/>
              <w:bottom w:val="double" w:sz="6" w:space="0" w:color="auto"/>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1436" w:type="dxa"/>
            <w:tcBorders>
              <w:top w:val="single" w:sz="4" w:space="0" w:color="auto"/>
              <w:left w:val="nil"/>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70"/>
        </w:trPr>
        <w:tc>
          <w:tcPr>
            <w:tcW w:w="7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b/>
                <w:bCs/>
                <w:sz w:val="20"/>
              </w:rPr>
            </w:pPr>
            <w:r w:rsidRPr="00C06924">
              <w:rPr>
                <w:rFonts w:ascii="Arial" w:hAnsi="Arial" w:cs="Arial"/>
                <w:b/>
                <w:bCs/>
                <w:sz w:val="20"/>
              </w:rPr>
              <w:t>2014</w:t>
            </w:r>
          </w:p>
        </w:tc>
        <w:tc>
          <w:tcPr>
            <w:tcW w:w="5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 </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 </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 </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55"/>
        </w:trPr>
        <w:tc>
          <w:tcPr>
            <w:tcW w:w="4137" w:type="dxa"/>
            <w:gridSpan w:val="3"/>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Cash and cash equivalents</w:t>
            </w: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592</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592</w:t>
            </w: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55"/>
        </w:trPr>
        <w:tc>
          <w:tcPr>
            <w:tcW w:w="4137" w:type="dxa"/>
            <w:gridSpan w:val="3"/>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Restricted cash and cash equivalents</w:t>
            </w: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126</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126</w:t>
            </w: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85"/>
        </w:trPr>
        <w:tc>
          <w:tcPr>
            <w:tcW w:w="4137" w:type="dxa"/>
            <w:gridSpan w:val="3"/>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 xml:space="preserve">Receivables </w:t>
            </w:r>
            <w:r w:rsidRPr="00C06924">
              <w:rPr>
                <w:rFonts w:ascii="Arial" w:hAnsi="Arial" w:cs="Arial"/>
                <w:sz w:val="20"/>
                <w:vertAlign w:val="superscript"/>
              </w:rPr>
              <w:t>(a)</w:t>
            </w: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37</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37</w:t>
            </w:r>
          </w:p>
        </w:tc>
        <w:tc>
          <w:tcPr>
            <w:tcW w:w="1436" w:type="dxa"/>
            <w:tcBorders>
              <w:top w:val="nil"/>
              <w:left w:val="single" w:sz="8" w:space="0" w:color="auto"/>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55"/>
        </w:trPr>
        <w:tc>
          <w:tcPr>
            <w:tcW w:w="4137" w:type="dxa"/>
            <w:gridSpan w:val="3"/>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Amounts receivable for services</w:t>
            </w:r>
          </w:p>
        </w:tc>
        <w:tc>
          <w:tcPr>
            <w:tcW w:w="1039" w:type="dxa"/>
            <w:tcBorders>
              <w:top w:val="nil"/>
              <w:left w:val="nil"/>
              <w:bottom w:val="nil"/>
              <w:right w:val="nil"/>
            </w:tcBorders>
            <w:shd w:val="clear" w:color="000000" w:fill="C0C0C0"/>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675</w:t>
            </w: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675</w:t>
            </w:r>
          </w:p>
        </w:tc>
        <w:tc>
          <w:tcPr>
            <w:tcW w:w="1436" w:type="dxa"/>
            <w:tcBorders>
              <w:top w:val="nil"/>
              <w:left w:val="single" w:sz="8" w:space="0" w:color="auto"/>
              <w:bottom w:val="single" w:sz="4"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r w:rsidRPr="00C06924">
              <w:rPr>
                <w:rFonts w:ascii="Arial" w:hAnsi="Arial" w:cs="Arial"/>
                <w:sz w:val="20"/>
              </w:rPr>
              <w:t>-</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70"/>
        </w:trPr>
        <w:tc>
          <w:tcPr>
            <w:tcW w:w="7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u w:val="single"/>
              </w:rPr>
            </w:pPr>
          </w:p>
        </w:tc>
        <w:tc>
          <w:tcPr>
            <w:tcW w:w="5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1039" w:type="dxa"/>
            <w:tcBorders>
              <w:top w:val="single" w:sz="4" w:space="0" w:color="auto"/>
              <w:left w:val="nil"/>
              <w:bottom w:val="double" w:sz="6" w:space="0" w:color="auto"/>
              <w:right w:val="nil"/>
            </w:tcBorders>
            <w:shd w:val="clear" w:color="000000" w:fill="C0C0C0"/>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1,430</w:t>
            </w:r>
          </w:p>
        </w:tc>
        <w:tc>
          <w:tcPr>
            <w:tcW w:w="1050" w:type="dxa"/>
            <w:tcBorders>
              <w:top w:val="single" w:sz="4" w:space="0" w:color="auto"/>
              <w:left w:val="nil"/>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1,430</w:t>
            </w:r>
          </w:p>
        </w:tc>
        <w:tc>
          <w:tcPr>
            <w:tcW w:w="1436" w:type="dxa"/>
            <w:tcBorders>
              <w:top w:val="nil"/>
              <w:left w:val="single" w:sz="8" w:space="0" w:color="auto"/>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1436" w:type="dxa"/>
            <w:tcBorders>
              <w:top w:val="single" w:sz="4" w:space="0" w:color="auto"/>
              <w:left w:val="nil"/>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1436" w:type="dxa"/>
            <w:tcBorders>
              <w:top w:val="single" w:sz="4" w:space="0" w:color="auto"/>
              <w:left w:val="nil"/>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1436" w:type="dxa"/>
            <w:tcBorders>
              <w:top w:val="single" w:sz="4" w:space="0" w:color="auto"/>
              <w:left w:val="nil"/>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1436" w:type="dxa"/>
            <w:tcBorders>
              <w:top w:val="single" w:sz="4" w:space="0" w:color="auto"/>
              <w:left w:val="nil"/>
              <w:bottom w:val="double" w:sz="6" w:space="0" w:color="auto"/>
              <w:right w:val="single" w:sz="8" w:space="0" w:color="auto"/>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1436" w:type="dxa"/>
            <w:tcBorders>
              <w:top w:val="single" w:sz="4" w:space="0" w:color="auto"/>
              <w:left w:val="nil"/>
              <w:bottom w:val="double" w:sz="6" w:space="0" w:color="auto"/>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b/>
                <w:bCs/>
                <w:sz w:val="20"/>
              </w:rPr>
            </w:pPr>
            <w:r w:rsidRPr="00C06924">
              <w:rPr>
                <w:rFonts w:ascii="Arial" w:hAnsi="Arial" w:cs="Arial"/>
                <w:b/>
                <w:bCs/>
                <w:sz w:val="20"/>
              </w:rPr>
              <w:t>-</w:t>
            </w: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r>
      <w:tr w:rsidR="00B40057" w:rsidRPr="00C06924" w:rsidTr="00B40057">
        <w:trPr>
          <w:trHeight w:val="270"/>
        </w:trPr>
        <w:tc>
          <w:tcPr>
            <w:tcW w:w="7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2837"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p>
        </w:tc>
        <w:tc>
          <w:tcPr>
            <w:tcW w:w="1039"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p>
        </w:tc>
        <w:tc>
          <w:tcPr>
            <w:tcW w:w="1050"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center"/>
              <w:rPr>
                <w:rFonts w:ascii="Arial" w:hAnsi="Arial" w:cs="Arial"/>
                <w:sz w:val="20"/>
              </w:rPr>
            </w:pPr>
          </w:p>
        </w:tc>
        <w:tc>
          <w:tcPr>
            <w:tcW w:w="1436" w:type="dxa"/>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p>
        </w:tc>
        <w:tc>
          <w:tcPr>
            <w:tcW w:w="467" w:type="dxa"/>
            <w:gridSpan w:val="2"/>
            <w:tcBorders>
              <w:top w:val="nil"/>
              <w:left w:val="nil"/>
              <w:bottom w:val="nil"/>
              <w:right w:val="nil"/>
            </w:tcBorders>
            <w:shd w:val="clear" w:color="auto" w:fill="auto"/>
            <w:noWrap/>
            <w:vAlign w:val="bottom"/>
            <w:hideMark/>
          </w:tcPr>
          <w:p w:rsidR="00B40057" w:rsidRPr="00C06924" w:rsidRDefault="00B40057" w:rsidP="005D6CF9">
            <w:pPr>
              <w:spacing w:after="0" w:line="240" w:lineRule="auto"/>
              <w:jc w:val="right"/>
              <w:rPr>
                <w:rFonts w:ascii="Arial" w:hAnsi="Arial" w:cs="Arial"/>
                <w:sz w:val="20"/>
              </w:rPr>
            </w:pPr>
          </w:p>
        </w:tc>
      </w:tr>
      <w:tr w:rsidR="00B40057" w:rsidRPr="00C06924" w:rsidTr="00B40057">
        <w:trPr>
          <w:gridAfter w:val="1"/>
          <w:wAfter w:w="257" w:type="dxa"/>
          <w:trHeight w:val="255"/>
        </w:trPr>
        <w:tc>
          <w:tcPr>
            <w:tcW w:w="15052" w:type="dxa"/>
            <w:gridSpan w:val="12"/>
            <w:tcBorders>
              <w:top w:val="nil"/>
              <w:left w:val="nil"/>
              <w:bottom w:val="nil"/>
              <w:right w:val="nil"/>
            </w:tcBorders>
            <w:shd w:val="clear" w:color="auto" w:fill="auto"/>
            <w:noWrap/>
            <w:vAlign w:val="bottom"/>
            <w:hideMark/>
          </w:tcPr>
          <w:p w:rsidR="00B40057" w:rsidRPr="00C06924" w:rsidRDefault="00B40057" w:rsidP="005D6CF9">
            <w:pPr>
              <w:spacing w:after="0" w:line="240" w:lineRule="auto"/>
              <w:rPr>
                <w:rFonts w:ascii="Arial" w:hAnsi="Arial" w:cs="Arial"/>
                <w:sz w:val="20"/>
              </w:rPr>
            </w:pPr>
            <w:r w:rsidRPr="00C06924">
              <w:rPr>
                <w:rFonts w:ascii="Arial" w:hAnsi="Arial" w:cs="Arial"/>
                <w:sz w:val="20"/>
              </w:rPr>
              <w:t>(a) The amount of receivables excludes the GST recoverable from the ATO (statutory receivable).</w:t>
            </w:r>
          </w:p>
        </w:tc>
      </w:tr>
    </w:tbl>
    <w:p w:rsidR="00B40057" w:rsidRDefault="00B40057" w:rsidP="00B40057"/>
    <w:tbl>
      <w:tblPr>
        <w:tblW w:w="15876" w:type="dxa"/>
        <w:tblInd w:w="108" w:type="dxa"/>
        <w:tblLayout w:type="fixed"/>
        <w:tblLook w:val="04A0" w:firstRow="1" w:lastRow="0" w:firstColumn="1" w:lastColumn="0" w:noHBand="0" w:noVBand="1"/>
      </w:tblPr>
      <w:tblGrid>
        <w:gridCol w:w="3371"/>
        <w:gridCol w:w="1116"/>
        <w:gridCol w:w="1317"/>
        <w:gridCol w:w="1225"/>
        <w:gridCol w:w="1317"/>
        <w:gridCol w:w="1308"/>
        <w:gridCol w:w="1308"/>
        <w:gridCol w:w="1308"/>
        <w:gridCol w:w="939"/>
        <w:gridCol w:w="939"/>
        <w:gridCol w:w="739"/>
        <w:gridCol w:w="989"/>
      </w:tblGrid>
      <w:tr w:rsidR="00B40057" w:rsidRPr="00E92232" w:rsidTr="00B40057">
        <w:trPr>
          <w:trHeight w:val="255"/>
        </w:trPr>
        <w:tc>
          <w:tcPr>
            <w:tcW w:w="15876" w:type="dxa"/>
            <w:gridSpan w:val="12"/>
            <w:tcBorders>
              <w:top w:val="nil"/>
              <w:left w:val="nil"/>
              <w:bottom w:val="nil"/>
            </w:tcBorders>
            <w:shd w:val="clear" w:color="auto" w:fill="auto"/>
            <w:noWrap/>
            <w:vAlign w:val="bottom"/>
            <w:hideMark/>
          </w:tcPr>
          <w:p w:rsidR="00B40057" w:rsidRPr="00E92232" w:rsidRDefault="00B40057" w:rsidP="00B40057">
            <w:pPr>
              <w:jc w:val="right"/>
              <w:rPr>
                <w:rFonts w:ascii="Arial" w:hAnsi="Arial" w:cs="Arial"/>
                <w:b/>
                <w:bCs/>
                <w:color w:val="000000"/>
                <w:sz w:val="20"/>
              </w:rPr>
            </w:pPr>
            <w:r w:rsidRPr="00E92232">
              <w:rPr>
                <w:rFonts w:ascii="Arial" w:hAnsi="Arial" w:cs="Arial"/>
                <w:b/>
                <w:bCs/>
                <w:color w:val="000000"/>
                <w:sz w:val="20"/>
              </w:rPr>
              <w:lastRenderedPageBreak/>
              <w:t>Western Australian Electoral Commission - 30 June 2015</w:t>
            </w:r>
          </w:p>
        </w:tc>
      </w:tr>
      <w:tr w:rsidR="00B40057" w:rsidRPr="00E92232" w:rsidTr="00B40057">
        <w:trPr>
          <w:trHeight w:val="300"/>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i/>
                <w:iCs/>
                <w:szCs w:val="24"/>
              </w:rPr>
            </w:pPr>
            <w:r w:rsidRPr="00E92232">
              <w:rPr>
                <w:rFonts w:ascii="Arial" w:hAnsi="Arial" w:cs="Arial"/>
                <w:b/>
                <w:bCs/>
                <w:i/>
                <w:iCs/>
                <w:szCs w:val="24"/>
              </w:rPr>
              <w:t>Note 29. continued</w:t>
            </w: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i/>
                <w:iCs/>
                <w:szCs w:val="24"/>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i/>
                <w:iCs/>
                <w:szCs w:val="24"/>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18"/>
                <w:szCs w:val="18"/>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color w:val="000000"/>
                <w:sz w:val="18"/>
                <w:szCs w:val="18"/>
              </w:rPr>
            </w:pPr>
          </w:p>
        </w:tc>
      </w:tr>
      <w:tr w:rsidR="00B40057" w:rsidRPr="00E92232" w:rsidTr="00B40057">
        <w:trPr>
          <w:trHeight w:val="300"/>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i/>
                <w:iCs/>
                <w:szCs w:val="24"/>
              </w:rPr>
            </w:pP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i/>
                <w:iCs/>
                <w:szCs w:val="24"/>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i/>
                <w:iCs/>
                <w:szCs w:val="24"/>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18"/>
                <w:szCs w:val="18"/>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color w:val="000000"/>
                <w:sz w:val="18"/>
                <w:szCs w:val="18"/>
              </w:rPr>
            </w:pPr>
          </w:p>
        </w:tc>
      </w:tr>
      <w:tr w:rsidR="00B40057" w:rsidRPr="00E92232" w:rsidTr="00B40057">
        <w:trPr>
          <w:trHeight w:val="255"/>
        </w:trPr>
        <w:tc>
          <w:tcPr>
            <w:tcW w:w="4487" w:type="dxa"/>
            <w:gridSpan w:val="2"/>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i/>
                <w:iCs/>
                <w:sz w:val="20"/>
              </w:rPr>
            </w:pPr>
            <w:r w:rsidRPr="00E92232">
              <w:rPr>
                <w:rFonts w:ascii="Arial" w:hAnsi="Arial" w:cs="Arial"/>
                <w:i/>
                <w:iCs/>
                <w:sz w:val="20"/>
              </w:rPr>
              <w:t>Liquidity risk and interest rate exposure</w:t>
            </w: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555"/>
        </w:trPr>
        <w:tc>
          <w:tcPr>
            <w:tcW w:w="15876" w:type="dxa"/>
            <w:gridSpan w:val="12"/>
            <w:tcBorders>
              <w:top w:val="nil"/>
              <w:left w:val="nil"/>
              <w:bottom w:val="nil"/>
              <w:right w:val="nil"/>
            </w:tcBorders>
            <w:shd w:val="clear" w:color="auto" w:fill="auto"/>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The following table details the Commission's interest rate exposure and the contractual maturity analysis of financial ass</w:t>
            </w:r>
            <w:r>
              <w:rPr>
                <w:rFonts w:ascii="Arial" w:hAnsi="Arial" w:cs="Arial"/>
                <w:sz w:val="20"/>
              </w:rPr>
              <w:t xml:space="preserve">ets and financial liabilities. </w:t>
            </w:r>
            <w:r w:rsidRPr="00E92232">
              <w:rPr>
                <w:rFonts w:ascii="Arial" w:hAnsi="Arial" w:cs="Arial"/>
                <w:sz w:val="20"/>
              </w:rPr>
              <w:t xml:space="preserve">The maturity analysis section includes interest and principal cash flows.  The interest rate exposure section analyses only the carrying amounts of each item.  </w:t>
            </w:r>
          </w:p>
        </w:tc>
      </w:tr>
      <w:tr w:rsidR="00B40057" w:rsidRPr="00E92232" w:rsidTr="00B40057">
        <w:trPr>
          <w:trHeight w:val="255"/>
        </w:trPr>
        <w:tc>
          <w:tcPr>
            <w:tcW w:w="15876" w:type="dxa"/>
            <w:gridSpan w:val="12"/>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r w:rsidRPr="00E92232">
              <w:rPr>
                <w:rFonts w:ascii="Arial" w:hAnsi="Arial" w:cs="Arial"/>
                <w:b/>
                <w:bCs/>
                <w:sz w:val="20"/>
              </w:rPr>
              <w:t>Interest rate exposure and maturity analysis of financial assets and financial liabilities</w:t>
            </w: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 </w:t>
            </w:r>
          </w:p>
        </w:tc>
        <w:tc>
          <w:tcPr>
            <w:tcW w:w="3850" w:type="dxa"/>
            <w:gridSpan w:val="3"/>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678" w:type="dxa"/>
            <w:gridSpan w:val="2"/>
            <w:tcBorders>
              <w:top w:val="nil"/>
              <w:left w:val="nil"/>
              <w:bottom w:val="nil"/>
              <w:right w:val="nil"/>
            </w:tcBorders>
            <w:shd w:val="clear" w:color="auto" w:fill="auto"/>
            <w:noWrap/>
            <w:vAlign w:val="bottom"/>
          </w:tcPr>
          <w:p w:rsidR="00B40057" w:rsidRPr="00E92232" w:rsidRDefault="00B40057" w:rsidP="005D6CF9">
            <w:pPr>
              <w:spacing w:after="0" w:line="240" w:lineRule="auto"/>
              <w:rPr>
                <w:rFonts w:ascii="Arial" w:hAnsi="Arial" w:cs="Arial"/>
                <w:b/>
                <w:bCs/>
                <w:sz w:val="20"/>
              </w:rPr>
            </w:pPr>
          </w:p>
        </w:tc>
        <w:tc>
          <w:tcPr>
            <w:tcW w:w="989" w:type="dxa"/>
            <w:tcBorders>
              <w:top w:val="nil"/>
              <w:left w:val="nil"/>
              <w:bottom w:val="nil"/>
              <w:right w:val="nil"/>
            </w:tcBorders>
            <w:shd w:val="clear" w:color="auto" w:fill="auto"/>
            <w:noWrap/>
            <w:vAlign w:val="bottom"/>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371" w:type="dxa"/>
            <w:tcBorders>
              <w:top w:val="nil"/>
              <w:left w:val="nil"/>
              <w:bottom w:val="nil"/>
              <w:right w:val="nil"/>
            </w:tcBorders>
            <w:shd w:val="clear" w:color="auto" w:fill="auto"/>
            <w:hideMark/>
          </w:tcPr>
          <w:p w:rsidR="00B40057" w:rsidRPr="00E92232" w:rsidRDefault="00B40057" w:rsidP="005D6CF9">
            <w:pPr>
              <w:spacing w:after="0" w:line="240" w:lineRule="auto"/>
              <w:rPr>
                <w:sz w:val="20"/>
              </w:rPr>
            </w:pP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b/>
                <w:bCs/>
                <w:sz w:val="20"/>
              </w:rPr>
            </w:pPr>
            <w:r w:rsidRPr="00E92232">
              <w:rPr>
                <w:rFonts w:ascii="Arial" w:hAnsi="Arial" w:cs="Arial"/>
                <w:b/>
                <w:bCs/>
                <w:sz w:val="20"/>
              </w:rPr>
              <w:t> </w:t>
            </w:r>
          </w:p>
        </w:tc>
        <w:tc>
          <w:tcPr>
            <w:tcW w:w="3850" w:type="dxa"/>
            <w:gridSpan w:val="3"/>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r w:rsidRPr="00E92232">
              <w:rPr>
                <w:rFonts w:ascii="Arial" w:hAnsi="Arial" w:cs="Arial"/>
                <w:b/>
                <w:bCs/>
                <w:sz w:val="20"/>
              </w:rPr>
              <w:t>Interest rate exposure</w:t>
            </w: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r w:rsidRPr="00E92232">
              <w:rPr>
                <w:rFonts w:ascii="Arial" w:hAnsi="Arial" w:cs="Arial"/>
                <w:b/>
                <w:bCs/>
                <w:sz w:val="20"/>
              </w:rPr>
              <w:t> </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2667" w:type="dxa"/>
            <w:gridSpan w:val="3"/>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r w:rsidRPr="00E92232">
              <w:rPr>
                <w:rFonts w:ascii="Arial" w:hAnsi="Arial" w:cs="Arial"/>
                <w:b/>
                <w:bCs/>
                <w:sz w:val="20"/>
              </w:rPr>
              <w:t>Maturity Dates</w:t>
            </w: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r w:rsidRPr="00E92232">
              <w:rPr>
                <w:rFonts w:ascii="Arial" w:hAnsi="Arial" w:cs="Arial"/>
                <w:b/>
                <w:bCs/>
                <w:sz w:val="20"/>
              </w:rPr>
              <w:t> </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Carrying Amount</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xml:space="preserve">Fixed interest </w:t>
            </w: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Variable interest</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xml:space="preserve">Non-Interest </w:t>
            </w: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Nominal</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Up to 1</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1 - 3</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3 months</w:t>
            </w: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1 -5 years</w:t>
            </w: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More than</w:t>
            </w: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xml:space="preserve">Weighted Average Effective Interest </w:t>
            </w: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rate</w:t>
            </w: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rate</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Bearing</w:t>
            </w: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Amount</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month</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months</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to 1 year</w:t>
            </w: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5 years</w:t>
            </w: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Rate</w:t>
            </w: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r>
      <w:tr w:rsidR="00B40057" w:rsidRPr="00E92232" w:rsidTr="00B40057">
        <w:trPr>
          <w:trHeight w:val="255"/>
        </w:trPr>
        <w:tc>
          <w:tcPr>
            <w:tcW w:w="3371"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r w:rsidRPr="00E92232">
              <w:rPr>
                <w:rFonts w:ascii="Arial" w:hAnsi="Arial" w:cs="Arial"/>
                <w:b/>
                <w:bCs/>
                <w:sz w:val="20"/>
              </w:rPr>
              <w:t> </w:t>
            </w:r>
          </w:p>
        </w:tc>
        <w:tc>
          <w:tcPr>
            <w:tcW w:w="1116"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317" w:type="dxa"/>
            <w:tcBorders>
              <w:top w:val="nil"/>
              <w:left w:val="nil"/>
              <w:bottom w:val="single" w:sz="4" w:space="0" w:color="auto"/>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225"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317"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308"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308" w:type="dxa"/>
            <w:tcBorders>
              <w:top w:val="nil"/>
              <w:left w:val="single" w:sz="8" w:space="0" w:color="auto"/>
              <w:bottom w:val="single" w:sz="4" w:space="0" w:color="auto"/>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308"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939"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939"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739"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989"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r w:rsidRPr="00E92232">
              <w:rPr>
                <w:rFonts w:ascii="Arial" w:hAnsi="Arial" w:cs="Arial"/>
                <w:b/>
                <w:bCs/>
                <w:sz w:val="20"/>
              </w:rPr>
              <w:t>2015</w:t>
            </w: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u w:val="single"/>
              </w:rPr>
            </w:pPr>
            <w:r w:rsidRPr="00E92232">
              <w:rPr>
                <w:rFonts w:ascii="Arial" w:hAnsi="Arial" w:cs="Arial"/>
                <w:sz w:val="20"/>
                <w:u w:val="single"/>
              </w:rPr>
              <w:t>Financial Assets</w:t>
            </w: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Cash and cash equivalents</w:t>
            </w: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457</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457</w:t>
            </w: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457</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457</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Restricted cash and cash equivalents</w:t>
            </w: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151</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151</w:t>
            </w: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151</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151</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8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 xml:space="preserve">Receivables </w:t>
            </w:r>
            <w:r w:rsidRPr="00E92232">
              <w:rPr>
                <w:rFonts w:ascii="Arial" w:hAnsi="Arial" w:cs="Arial"/>
                <w:sz w:val="20"/>
                <w:vertAlign w:val="superscript"/>
              </w:rPr>
              <w:t>(a)</w:t>
            </w: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40</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40</w:t>
            </w: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40</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40</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Amounts receivable for services</w:t>
            </w: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608</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608</w:t>
            </w: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608</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608</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70"/>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16"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317" w:type="dxa"/>
            <w:tcBorders>
              <w:top w:val="single" w:sz="4" w:space="0" w:color="auto"/>
              <w:left w:val="nil"/>
              <w:bottom w:val="double" w:sz="6" w:space="0" w:color="auto"/>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1,256</w:t>
            </w:r>
          </w:p>
        </w:tc>
        <w:tc>
          <w:tcPr>
            <w:tcW w:w="1225"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317"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308"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1,256</w:t>
            </w:r>
          </w:p>
        </w:tc>
        <w:tc>
          <w:tcPr>
            <w:tcW w:w="1308" w:type="dxa"/>
            <w:tcBorders>
              <w:top w:val="single" w:sz="4" w:space="0" w:color="auto"/>
              <w:left w:val="single" w:sz="8" w:space="0" w:color="auto"/>
              <w:bottom w:val="double" w:sz="6" w:space="0" w:color="auto"/>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1,256</w:t>
            </w:r>
          </w:p>
        </w:tc>
        <w:tc>
          <w:tcPr>
            <w:tcW w:w="1308"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1,256</w:t>
            </w:r>
          </w:p>
        </w:tc>
        <w:tc>
          <w:tcPr>
            <w:tcW w:w="939"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939"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739"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989"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r>
      <w:tr w:rsidR="00B40057" w:rsidRPr="00E92232" w:rsidTr="00B40057">
        <w:trPr>
          <w:trHeight w:val="270"/>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u w:val="single"/>
              </w:rPr>
            </w:pPr>
            <w:r w:rsidRPr="00E92232">
              <w:rPr>
                <w:rFonts w:ascii="Arial" w:hAnsi="Arial" w:cs="Arial"/>
                <w:sz w:val="20"/>
                <w:u w:val="single"/>
              </w:rPr>
              <w:t>Financial Liabilities</w:t>
            </w: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Payables</w:t>
            </w: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479</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479</w:t>
            </w: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479</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479</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55"/>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Other liabilities</w:t>
            </w: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5</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5</w:t>
            </w:r>
          </w:p>
        </w:tc>
        <w:tc>
          <w:tcPr>
            <w:tcW w:w="1308"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5</w:t>
            </w: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5</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70"/>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116"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317" w:type="dxa"/>
            <w:tcBorders>
              <w:top w:val="single" w:sz="4" w:space="0" w:color="auto"/>
              <w:left w:val="nil"/>
              <w:bottom w:val="double" w:sz="6" w:space="0" w:color="auto"/>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484</w:t>
            </w:r>
          </w:p>
        </w:tc>
        <w:tc>
          <w:tcPr>
            <w:tcW w:w="1225"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317"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308"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484</w:t>
            </w:r>
          </w:p>
        </w:tc>
        <w:tc>
          <w:tcPr>
            <w:tcW w:w="1308" w:type="dxa"/>
            <w:tcBorders>
              <w:top w:val="single" w:sz="4" w:space="0" w:color="auto"/>
              <w:left w:val="single" w:sz="8" w:space="0" w:color="auto"/>
              <w:bottom w:val="double" w:sz="6" w:space="0" w:color="auto"/>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484</w:t>
            </w:r>
          </w:p>
        </w:tc>
        <w:tc>
          <w:tcPr>
            <w:tcW w:w="1308"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484</w:t>
            </w:r>
          </w:p>
        </w:tc>
        <w:tc>
          <w:tcPr>
            <w:tcW w:w="939"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939"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739"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989"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r>
      <w:tr w:rsidR="00B40057" w:rsidRPr="00E92232" w:rsidTr="00B40057">
        <w:trPr>
          <w:trHeight w:val="270"/>
        </w:trPr>
        <w:tc>
          <w:tcPr>
            <w:tcW w:w="337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11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317"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30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9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73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98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r>
      <w:tr w:rsidR="00B40057" w:rsidRPr="00E92232" w:rsidTr="00B40057">
        <w:trPr>
          <w:trHeight w:val="255"/>
        </w:trPr>
        <w:tc>
          <w:tcPr>
            <w:tcW w:w="15876" w:type="dxa"/>
            <w:gridSpan w:val="12"/>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r w:rsidRPr="00E92232">
              <w:rPr>
                <w:rFonts w:ascii="Arial" w:hAnsi="Arial" w:cs="Arial"/>
                <w:sz w:val="20"/>
              </w:rPr>
              <w:t>(a) The amount of receivables excludes the GST recoverable from the ATO (statutory receivable).</w:t>
            </w:r>
          </w:p>
        </w:tc>
      </w:tr>
    </w:tbl>
    <w:p w:rsidR="005D6CF9" w:rsidRDefault="005D6CF9" w:rsidP="00B40057">
      <w:pPr>
        <w:jc w:val="right"/>
        <w:rPr>
          <w:rFonts w:ascii="Arial" w:hAnsi="Arial" w:cs="Arial"/>
          <w:b/>
          <w:bCs/>
          <w:color w:val="000000"/>
          <w:sz w:val="20"/>
        </w:rPr>
      </w:pPr>
      <w:r>
        <w:rPr>
          <w:rFonts w:ascii="Arial" w:hAnsi="Arial" w:cs="Arial"/>
          <w:b/>
          <w:bCs/>
          <w:color w:val="000000"/>
          <w:sz w:val="20"/>
        </w:rPr>
        <w:br w:type="page"/>
      </w:r>
    </w:p>
    <w:p w:rsidR="00B40057" w:rsidRDefault="00B40057" w:rsidP="005D6CF9">
      <w:pPr>
        <w:spacing w:after="0" w:line="240" w:lineRule="auto"/>
        <w:jc w:val="right"/>
      </w:pPr>
      <w:r w:rsidRPr="00E92232">
        <w:rPr>
          <w:rFonts w:ascii="Arial" w:hAnsi="Arial" w:cs="Arial"/>
          <w:b/>
          <w:bCs/>
          <w:color w:val="000000"/>
          <w:sz w:val="20"/>
        </w:rPr>
        <w:lastRenderedPageBreak/>
        <w:t>Western Australian Electoral Commission - 30 June 2015</w:t>
      </w:r>
    </w:p>
    <w:p w:rsidR="00B40057" w:rsidRDefault="00B40057" w:rsidP="005D6CF9">
      <w:pPr>
        <w:spacing w:after="0" w:line="240" w:lineRule="auto"/>
      </w:pPr>
      <w:proofErr w:type="gramStart"/>
      <w:r w:rsidRPr="00E92232">
        <w:rPr>
          <w:rFonts w:ascii="Arial" w:hAnsi="Arial" w:cs="Arial"/>
          <w:b/>
          <w:bCs/>
          <w:i/>
          <w:iCs/>
          <w:szCs w:val="24"/>
        </w:rPr>
        <w:t>Note 29.</w:t>
      </w:r>
      <w:proofErr w:type="gramEnd"/>
      <w:r w:rsidRPr="00E92232">
        <w:rPr>
          <w:rFonts w:ascii="Arial" w:hAnsi="Arial" w:cs="Arial"/>
          <w:b/>
          <w:bCs/>
          <w:i/>
          <w:iCs/>
          <w:szCs w:val="24"/>
        </w:rPr>
        <w:t xml:space="preserve"> </w:t>
      </w:r>
      <w:proofErr w:type="gramStart"/>
      <w:r w:rsidRPr="00E92232">
        <w:rPr>
          <w:rFonts w:ascii="Arial" w:hAnsi="Arial" w:cs="Arial"/>
          <w:b/>
          <w:bCs/>
          <w:i/>
          <w:iCs/>
          <w:szCs w:val="24"/>
        </w:rPr>
        <w:t>continued</w:t>
      </w:r>
      <w:proofErr w:type="gramEnd"/>
    </w:p>
    <w:tbl>
      <w:tblPr>
        <w:tblW w:w="15876" w:type="dxa"/>
        <w:tblInd w:w="108" w:type="dxa"/>
        <w:tblLayout w:type="fixed"/>
        <w:tblLook w:val="04A0" w:firstRow="1" w:lastRow="0" w:firstColumn="1" w:lastColumn="0" w:noHBand="0" w:noVBand="1"/>
      </w:tblPr>
      <w:tblGrid>
        <w:gridCol w:w="3261"/>
        <w:gridCol w:w="1292"/>
        <w:gridCol w:w="1182"/>
        <w:gridCol w:w="1038"/>
        <w:gridCol w:w="1119"/>
        <w:gridCol w:w="1084"/>
        <w:gridCol w:w="1162"/>
        <w:gridCol w:w="988"/>
        <w:gridCol w:w="1038"/>
        <w:gridCol w:w="1161"/>
        <w:gridCol w:w="1326"/>
        <w:gridCol w:w="1225"/>
      </w:tblGrid>
      <w:tr w:rsidR="00B40057" w:rsidRPr="00E92232" w:rsidTr="00B40057">
        <w:trPr>
          <w:trHeight w:val="255"/>
        </w:trPr>
        <w:tc>
          <w:tcPr>
            <w:tcW w:w="15876" w:type="dxa"/>
            <w:gridSpan w:val="12"/>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r w:rsidRPr="00E92232">
              <w:rPr>
                <w:rFonts w:ascii="Arial" w:hAnsi="Arial" w:cs="Arial"/>
                <w:b/>
                <w:bCs/>
                <w:sz w:val="20"/>
              </w:rPr>
              <w:t>Interest rate exposure and maturity analysis of financial assets and financial liabilities</w:t>
            </w: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 </w:t>
            </w:r>
          </w:p>
        </w:tc>
        <w:tc>
          <w:tcPr>
            <w:tcW w:w="3241" w:type="dxa"/>
            <w:gridSpan w:val="3"/>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r w:rsidRPr="00E92232">
              <w:rPr>
                <w:rFonts w:ascii="Arial" w:hAnsi="Arial" w:cs="Arial"/>
                <w:b/>
                <w:bCs/>
                <w:sz w:val="20"/>
              </w:rPr>
              <w:t>Interest rate exposure</w:t>
            </w: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2487" w:type="dxa"/>
            <w:gridSpan w:val="2"/>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r w:rsidRPr="00E92232">
              <w:rPr>
                <w:rFonts w:ascii="Arial" w:hAnsi="Arial" w:cs="Arial"/>
                <w:b/>
                <w:bCs/>
                <w:sz w:val="20"/>
              </w:rPr>
              <w:t>Maturity Dates</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261" w:type="dxa"/>
            <w:tcBorders>
              <w:top w:val="nil"/>
              <w:left w:val="nil"/>
              <w:bottom w:val="nil"/>
              <w:right w:val="nil"/>
            </w:tcBorders>
            <w:shd w:val="clear" w:color="auto" w:fill="auto"/>
            <w:hideMark/>
          </w:tcPr>
          <w:p w:rsidR="00B40057" w:rsidRPr="00E92232" w:rsidRDefault="00B40057" w:rsidP="005D6CF9">
            <w:pPr>
              <w:spacing w:after="0" w:line="240" w:lineRule="auto"/>
              <w:rPr>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Weighted</w:t>
            </w: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Average</w:t>
            </w: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xml:space="preserve">Carrying </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xml:space="preserve">Fixed </w:t>
            </w: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Variable</w:t>
            </w: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Non-</w:t>
            </w: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Effective</w:t>
            </w: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Amount</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xml:space="preserve">interest </w:t>
            </w: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interest</w:t>
            </w: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xml:space="preserve">Interest </w:t>
            </w: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Nominal</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Up to 1</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1 - 3</w:t>
            </w: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3 months</w:t>
            </w: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1 -5 years</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More than</w:t>
            </w: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xml:space="preserve">Interest </w:t>
            </w: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rate</w:t>
            </w: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rate</w:t>
            </w: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Bearing</w:t>
            </w: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Amount</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month</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months</w:t>
            </w: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to 1 year</w:t>
            </w: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5 years</w:t>
            </w: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Rate</w:t>
            </w: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 </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p>
        </w:tc>
      </w:tr>
      <w:tr w:rsidR="00B40057" w:rsidRPr="00E92232" w:rsidTr="00B40057">
        <w:trPr>
          <w:trHeight w:val="255"/>
        </w:trPr>
        <w:tc>
          <w:tcPr>
            <w:tcW w:w="3261"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r w:rsidRPr="00E92232">
              <w:rPr>
                <w:rFonts w:ascii="Arial" w:hAnsi="Arial" w:cs="Arial"/>
                <w:b/>
                <w:bCs/>
                <w:sz w:val="20"/>
              </w:rPr>
              <w:t> </w:t>
            </w:r>
          </w:p>
        </w:tc>
        <w:tc>
          <w:tcPr>
            <w:tcW w:w="1292"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182" w:type="dxa"/>
            <w:tcBorders>
              <w:top w:val="nil"/>
              <w:left w:val="nil"/>
              <w:bottom w:val="single" w:sz="4" w:space="0" w:color="auto"/>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038"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119"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084"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162" w:type="dxa"/>
            <w:tcBorders>
              <w:top w:val="nil"/>
              <w:left w:val="single" w:sz="8" w:space="0" w:color="auto"/>
              <w:bottom w:val="single" w:sz="4" w:space="0" w:color="auto"/>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988"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038"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161"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326"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c>
          <w:tcPr>
            <w:tcW w:w="1225" w:type="dxa"/>
            <w:tcBorders>
              <w:top w:val="nil"/>
              <w:left w:val="nil"/>
              <w:bottom w:val="single" w:sz="4"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$000</w:t>
            </w: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r w:rsidRPr="00E92232">
              <w:rPr>
                <w:rFonts w:ascii="Arial" w:hAnsi="Arial" w:cs="Arial"/>
                <w:b/>
                <w:bCs/>
                <w:sz w:val="20"/>
              </w:rPr>
              <w:t>2014</w:t>
            </w: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u w:val="single"/>
              </w:rPr>
            </w:pPr>
            <w:r w:rsidRPr="00E92232">
              <w:rPr>
                <w:rFonts w:ascii="Arial" w:hAnsi="Arial" w:cs="Arial"/>
                <w:sz w:val="20"/>
                <w:u w:val="single"/>
              </w:rPr>
              <w:t>Financial Assets</w:t>
            </w: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Cash and cash equivalents</w:t>
            </w: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592</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592</w:t>
            </w: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592</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592</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Restricted cash and cash equivalents</w:t>
            </w: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126</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126</w:t>
            </w: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126</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126</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8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 xml:space="preserve">Receivables </w:t>
            </w:r>
            <w:r w:rsidRPr="00E92232">
              <w:rPr>
                <w:rFonts w:ascii="Arial" w:hAnsi="Arial" w:cs="Arial"/>
                <w:sz w:val="20"/>
                <w:vertAlign w:val="superscript"/>
              </w:rPr>
              <w:t>(a)</w:t>
            </w: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37</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37</w:t>
            </w: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37</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37</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Amounts receivable for services</w:t>
            </w: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675</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675</w:t>
            </w: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675</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675</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70"/>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292"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182" w:type="dxa"/>
            <w:tcBorders>
              <w:top w:val="single" w:sz="4" w:space="0" w:color="auto"/>
              <w:left w:val="nil"/>
              <w:bottom w:val="double" w:sz="6" w:space="0" w:color="auto"/>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1,430</w:t>
            </w:r>
          </w:p>
        </w:tc>
        <w:tc>
          <w:tcPr>
            <w:tcW w:w="1038"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119"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084"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1,430</w:t>
            </w:r>
          </w:p>
        </w:tc>
        <w:tc>
          <w:tcPr>
            <w:tcW w:w="1162" w:type="dxa"/>
            <w:tcBorders>
              <w:top w:val="single" w:sz="4" w:space="0" w:color="auto"/>
              <w:left w:val="single" w:sz="8" w:space="0" w:color="auto"/>
              <w:bottom w:val="double" w:sz="6" w:space="0" w:color="auto"/>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1,430</w:t>
            </w:r>
          </w:p>
        </w:tc>
        <w:tc>
          <w:tcPr>
            <w:tcW w:w="988"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1,430</w:t>
            </w:r>
          </w:p>
        </w:tc>
        <w:tc>
          <w:tcPr>
            <w:tcW w:w="1038"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161"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326"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225"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r>
      <w:tr w:rsidR="00B40057" w:rsidRPr="00E92232" w:rsidTr="00B40057">
        <w:trPr>
          <w:trHeight w:val="270"/>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u w:val="single"/>
              </w:rPr>
            </w:pPr>
            <w:r w:rsidRPr="00E92232">
              <w:rPr>
                <w:rFonts w:ascii="Arial" w:hAnsi="Arial" w:cs="Arial"/>
                <w:sz w:val="20"/>
                <w:u w:val="single"/>
              </w:rPr>
              <w:t>Financial Liabilities</w:t>
            </w: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center"/>
              <w:rPr>
                <w:rFonts w:ascii="Arial" w:hAnsi="Arial" w:cs="Arial"/>
                <w:sz w:val="20"/>
              </w:rPr>
            </w:pPr>
            <w:r w:rsidRPr="00E92232">
              <w:rPr>
                <w:rFonts w:ascii="Arial" w:hAnsi="Arial" w:cs="Arial"/>
                <w:sz w:val="20"/>
              </w:rPr>
              <w:t> </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 </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Payables</w:t>
            </w: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82" w:type="dxa"/>
            <w:tcBorders>
              <w:top w:val="nil"/>
              <w:left w:val="nil"/>
              <w:bottom w:val="nil"/>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252</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252</w:t>
            </w:r>
          </w:p>
        </w:tc>
        <w:tc>
          <w:tcPr>
            <w:tcW w:w="1162" w:type="dxa"/>
            <w:tcBorders>
              <w:top w:val="nil"/>
              <w:left w:val="single" w:sz="8" w:space="0" w:color="auto"/>
              <w:bottom w:val="nil"/>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252</w:t>
            </w: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252</w:t>
            </w: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sz w:val="20"/>
              </w:rPr>
            </w:pPr>
            <w:r w:rsidRPr="00E92232">
              <w:rPr>
                <w:rFonts w:ascii="Arial" w:hAnsi="Arial" w:cs="Arial"/>
                <w:sz w:val="20"/>
              </w:rPr>
              <w:t>-</w:t>
            </w:r>
          </w:p>
        </w:tc>
      </w:tr>
      <w:tr w:rsidR="00B40057" w:rsidRPr="00E92232" w:rsidTr="00B40057">
        <w:trPr>
          <w:trHeight w:val="270"/>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292"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182" w:type="dxa"/>
            <w:tcBorders>
              <w:top w:val="single" w:sz="4" w:space="0" w:color="auto"/>
              <w:left w:val="nil"/>
              <w:bottom w:val="double" w:sz="6" w:space="0" w:color="auto"/>
              <w:right w:val="nil"/>
            </w:tcBorders>
            <w:shd w:val="clear" w:color="000000" w:fill="D9D9D9"/>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252</w:t>
            </w:r>
          </w:p>
        </w:tc>
        <w:tc>
          <w:tcPr>
            <w:tcW w:w="1038"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119"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084"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252</w:t>
            </w:r>
          </w:p>
        </w:tc>
        <w:tc>
          <w:tcPr>
            <w:tcW w:w="1162" w:type="dxa"/>
            <w:tcBorders>
              <w:top w:val="single" w:sz="4" w:space="0" w:color="auto"/>
              <w:left w:val="single" w:sz="8" w:space="0" w:color="auto"/>
              <w:bottom w:val="double" w:sz="6" w:space="0" w:color="auto"/>
              <w:right w:val="single" w:sz="8" w:space="0" w:color="auto"/>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252</w:t>
            </w:r>
          </w:p>
        </w:tc>
        <w:tc>
          <w:tcPr>
            <w:tcW w:w="988"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252</w:t>
            </w:r>
          </w:p>
        </w:tc>
        <w:tc>
          <w:tcPr>
            <w:tcW w:w="1038"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161"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326"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c>
          <w:tcPr>
            <w:tcW w:w="1225" w:type="dxa"/>
            <w:tcBorders>
              <w:top w:val="single" w:sz="4" w:space="0" w:color="auto"/>
              <w:left w:val="nil"/>
              <w:bottom w:val="double" w:sz="6" w:space="0" w:color="auto"/>
              <w:right w:val="nil"/>
            </w:tcBorders>
            <w:shd w:val="clear" w:color="auto" w:fill="auto"/>
            <w:noWrap/>
            <w:vAlign w:val="bottom"/>
            <w:hideMark/>
          </w:tcPr>
          <w:p w:rsidR="00B40057" w:rsidRPr="00E92232" w:rsidRDefault="00B40057" w:rsidP="005D6CF9">
            <w:pPr>
              <w:spacing w:after="0" w:line="240" w:lineRule="auto"/>
              <w:jc w:val="right"/>
              <w:rPr>
                <w:rFonts w:ascii="Arial" w:hAnsi="Arial" w:cs="Arial"/>
                <w:b/>
                <w:bCs/>
                <w:sz w:val="20"/>
              </w:rPr>
            </w:pPr>
            <w:r w:rsidRPr="00E92232">
              <w:rPr>
                <w:rFonts w:ascii="Arial" w:hAnsi="Arial" w:cs="Arial"/>
                <w:b/>
                <w:bCs/>
                <w:sz w:val="20"/>
              </w:rPr>
              <w:t>-</w:t>
            </w:r>
          </w:p>
        </w:tc>
      </w:tr>
      <w:tr w:rsidR="00B40057" w:rsidRPr="00E92232" w:rsidTr="00B40057">
        <w:trPr>
          <w:trHeight w:val="270"/>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8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6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r>
      <w:tr w:rsidR="00B40057" w:rsidRPr="00E92232" w:rsidTr="00B40057">
        <w:trPr>
          <w:trHeight w:val="255"/>
        </w:trPr>
        <w:tc>
          <w:tcPr>
            <w:tcW w:w="7892" w:type="dxa"/>
            <w:gridSpan w:val="5"/>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(a) The amount of receivables excludes the GST recoverable from the ATO (statutory receivable).</w:t>
            </w: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6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8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6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i/>
                <w:iCs/>
                <w:sz w:val="20"/>
              </w:rPr>
            </w:pPr>
            <w:r w:rsidRPr="00E92232">
              <w:rPr>
                <w:rFonts w:ascii="Arial" w:hAnsi="Arial" w:cs="Arial"/>
                <w:i/>
                <w:iCs/>
                <w:sz w:val="20"/>
              </w:rPr>
              <w:t>Interest rate sensitivity analysis</w:t>
            </w: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8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b/>
                <w:bCs/>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p>
        </w:tc>
        <w:tc>
          <w:tcPr>
            <w:tcW w:w="116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b/>
                <w:bCs/>
                <w:sz w:val="20"/>
              </w:rPr>
            </w:pPr>
          </w:p>
        </w:tc>
      </w:tr>
      <w:tr w:rsidR="00B40057" w:rsidRPr="00E92232" w:rsidTr="00B40057">
        <w:trPr>
          <w:trHeight w:val="585"/>
        </w:trPr>
        <w:tc>
          <w:tcPr>
            <w:tcW w:w="15876" w:type="dxa"/>
            <w:gridSpan w:val="12"/>
            <w:tcBorders>
              <w:top w:val="nil"/>
              <w:left w:val="nil"/>
              <w:bottom w:val="nil"/>
              <w:right w:val="nil"/>
            </w:tcBorders>
            <w:shd w:val="clear" w:color="auto" w:fill="auto"/>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 xml:space="preserve">None of the Commission's financial assets and financial liabilities at the end of the reporting period </w:t>
            </w:r>
            <w:proofErr w:type="gramStart"/>
            <w:r w:rsidRPr="00E92232">
              <w:rPr>
                <w:rFonts w:ascii="Arial" w:hAnsi="Arial" w:cs="Arial"/>
                <w:sz w:val="20"/>
              </w:rPr>
              <w:t>are</w:t>
            </w:r>
            <w:proofErr w:type="gramEnd"/>
            <w:r w:rsidRPr="00E92232">
              <w:rPr>
                <w:rFonts w:ascii="Arial" w:hAnsi="Arial" w:cs="Arial"/>
                <w:sz w:val="20"/>
              </w:rPr>
              <w:t xml:space="preserve"> sensitive to movements in interest rates, hence movements in interest rates have no bottom line impact on the Commission's surplus or equity.</w:t>
            </w: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18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r>
      <w:tr w:rsidR="00B40057" w:rsidRPr="00E92232" w:rsidTr="00B40057">
        <w:trPr>
          <w:trHeight w:val="255"/>
        </w:trPr>
        <w:tc>
          <w:tcPr>
            <w:tcW w:w="32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rPr>
                <w:rFonts w:ascii="Arial" w:hAnsi="Arial" w:cs="Arial"/>
                <w:i/>
                <w:iCs/>
                <w:sz w:val="20"/>
              </w:rPr>
            </w:pPr>
            <w:r w:rsidRPr="00E92232">
              <w:rPr>
                <w:rFonts w:ascii="Arial" w:hAnsi="Arial" w:cs="Arial"/>
                <w:i/>
                <w:iCs/>
                <w:sz w:val="20"/>
              </w:rPr>
              <w:t>Fair Values</w:t>
            </w:r>
          </w:p>
        </w:tc>
        <w:tc>
          <w:tcPr>
            <w:tcW w:w="129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8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19"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84"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2"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98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038"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161"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326"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c>
          <w:tcPr>
            <w:tcW w:w="1225" w:type="dxa"/>
            <w:tcBorders>
              <w:top w:val="nil"/>
              <w:left w:val="nil"/>
              <w:bottom w:val="nil"/>
              <w:right w:val="nil"/>
            </w:tcBorders>
            <w:shd w:val="clear" w:color="auto" w:fill="auto"/>
            <w:noWrap/>
            <w:vAlign w:val="bottom"/>
            <w:hideMark/>
          </w:tcPr>
          <w:p w:rsidR="00B40057" w:rsidRPr="00E92232" w:rsidRDefault="00B40057" w:rsidP="005D6CF9">
            <w:pPr>
              <w:spacing w:after="0" w:line="240" w:lineRule="auto"/>
              <w:jc w:val="center"/>
              <w:rPr>
                <w:rFonts w:ascii="Arial" w:hAnsi="Arial" w:cs="Arial"/>
                <w:sz w:val="20"/>
              </w:rPr>
            </w:pPr>
          </w:p>
        </w:tc>
      </w:tr>
      <w:tr w:rsidR="00B40057" w:rsidRPr="00E92232" w:rsidTr="00B40057">
        <w:trPr>
          <w:trHeight w:val="645"/>
        </w:trPr>
        <w:tc>
          <w:tcPr>
            <w:tcW w:w="15876" w:type="dxa"/>
            <w:gridSpan w:val="12"/>
            <w:tcBorders>
              <w:top w:val="nil"/>
              <w:left w:val="nil"/>
              <w:bottom w:val="nil"/>
              <w:right w:val="nil"/>
            </w:tcBorders>
            <w:shd w:val="clear" w:color="auto" w:fill="auto"/>
            <w:hideMark/>
          </w:tcPr>
          <w:p w:rsidR="00B40057" w:rsidRPr="00E92232" w:rsidRDefault="00B40057" w:rsidP="005D6CF9">
            <w:pPr>
              <w:spacing w:after="0" w:line="240" w:lineRule="auto"/>
              <w:rPr>
                <w:rFonts w:ascii="Arial" w:hAnsi="Arial" w:cs="Arial"/>
                <w:sz w:val="20"/>
              </w:rPr>
            </w:pPr>
            <w:r w:rsidRPr="00E92232">
              <w:rPr>
                <w:rFonts w:ascii="Arial" w:hAnsi="Arial" w:cs="Arial"/>
                <w:sz w:val="20"/>
              </w:rPr>
              <w:t xml:space="preserve">All financial assets and liabilities recognised in the Statement of Financial Position, whether they are carried at cost or fair value, are recognised at amounts that represent a reasonable approximation of fair value unless otherwise stated in the applicable notes. </w:t>
            </w:r>
          </w:p>
        </w:tc>
      </w:tr>
    </w:tbl>
    <w:p w:rsidR="00B40057" w:rsidRDefault="00B40057" w:rsidP="00B40057">
      <w:pPr>
        <w:sectPr w:rsidR="00B40057" w:rsidSect="005D6CF9">
          <w:footerReference w:type="default" r:id="rId13"/>
          <w:footerReference w:type="first" r:id="rId14"/>
          <w:pgSz w:w="16840" w:h="11900" w:orient="landscape" w:code="9"/>
          <w:pgMar w:top="1134" w:right="737" w:bottom="1134" w:left="567" w:header="720" w:footer="720" w:gutter="0"/>
          <w:pgNumType w:start="57"/>
          <w:cols w:space="0"/>
          <w:titlePg/>
        </w:sectPr>
      </w:pPr>
    </w:p>
    <w:tbl>
      <w:tblPr>
        <w:tblW w:w="9465" w:type="dxa"/>
        <w:tblInd w:w="108" w:type="dxa"/>
        <w:tblLook w:val="04A0" w:firstRow="1" w:lastRow="0" w:firstColumn="1" w:lastColumn="0" w:noHBand="0" w:noVBand="1"/>
      </w:tblPr>
      <w:tblGrid>
        <w:gridCol w:w="716"/>
        <w:gridCol w:w="34"/>
        <w:gridCol w:w="502"/>
        <w:gridCol w:w="48"/>
        <w:gridCol w:w="2708"/>
        <w:gridCol w:w="248"/>
        <w:gridCol w:w="2168"/>
        <w:gridCol w:w="248"/>
        <w:gridCol w:w="1128"/>
        <w:gridCol w:w="248"/>
        <w:gridCol w:w="1128"/>
        <w:gridCol w:w="289"/>
      </w:tblGrid>
      <w:tr w:rsidR="00B40057" w:rsidRPr="00397F96" w:rsidTr="00B40057">
        <w:trPr>
          <w:trHeight w:val="285"/>
        </w:trPr>
        <w:tc>
          <w:tcPr>
            <w:tcW w:w="9465" w:type="dxa"/>
            <w:gridSpan w:val="12"/>
            <w:tcBorders>
              <w:top w:val="nil"/>
              <w:left w:val="nil"/>
              <w:bottom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sz w:val="20"/>
              </w:rPr>
            </w:pPr>
            <w:r w:rsidRPr="00397F96">
              <w:rPr>
                <w:rFonts w:ascii="Arial" w:hAnsi="Arial" w:cs="Arial"/>
                <w:b/>
                <w:bCs/>
                <w:color w:val="000000"/>
                <w:sz w:val="20"/>
              </w:rPr>
              <w:lastRenderedPageBreak/>
              <w:t>Western Australian Electoral Commission - 30 June 2015</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sz w:val="20"/>
              </w:rPr>
            </w:pPr>
          </w:p>
        </w:tc>
      </w:tr>
      <w:tr w:rsidR="00B40057" w:rsidRPr="00397F96" w:rsidTr="00B40057">
        <w:trPr>
          <w:trHeight w:val="31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r w:rsidRPr="00397F96">
              <w:rPr>
                <w:rFonts w:ascii="Arial" w:hAnsi="Arial" w:cs="Arial"/>
                <w:b/>
                <w:bCs/>
                <w:i/>
                <w:iCs/>
                <w:szCs w:val="24"/>
              </w:rPr>
              <w:t>Note</w:t>
            </w: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Cs w:val="24"/>
              </w:rPr>
            </w:pPr>
            <w:r w:rsidRPr="00397F96">
              <w:rPr>
                <w:rFonts w:ascii="Arial" w:hAnsi="Arial" w:cs="Arial"/>
                <w:b/>
                <w:bCs/>
                <w:szCs w:val="24"/>
              </w:rPr>
              <w:t>30.</w:t>
            </w:r>
          </w:p>
        </w:tc>
        <w:tc>
          <w:tcPr>
            <w:tcW w:w="5372" w:type="dxa"/>
            <w:gridSpan w:val="4"/>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r w:rsidRPr="00397F96">
              <w:rPr>
                <w:rFonts w:ascii="Arial" w:hAnsi="Arial" w:cs="Arial"/>
                <w:b/>
                <w:bCs/>
                <w:i/>
                <w:iCs/>
                <w:szCs w:val="24"/>
              </w:rPr>
              <w:t>Remuneration of senior officers</w:t>
            </w: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00"/>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600"/>
        </w:trPr>
        <w:tc>
          <w:tcPr>
            <w:tcW w:w="9465" w:type="dxa"/>
            <w:gridSpan w:val="12"/>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r>
              <w:rPr>
                <w:rFonts w:ascii="Arial" w:hAnsi="Arial" w:cs="Arial"/>
                <w:noProof/>
                <w:sz w:val="20"/>
                <w:lang w:eastAsia="en-AU"/>
              </w:rPr>
              <mc:AlternateContent>
                <mc:Choice Requires="wps">
                  <w:drawing>
                    <wp:anchor distT="0" distB="0" distL="114300" distR="114300" simplePos="0" relativeHeight="251675648" behindDoc="0" locked="0" layoutInCell="1" allowOverlap="1" wp14:anchorId="771921ED" wp14:editId="1A378114">
                      <wp:simplePos x="0" y="0"/>
                      <wp:positionH relativeFrom="column">
                        <wp:posOffset>771525</wp:posOffset>
                      </wp:positionH>
                      <wp:positionV relativeFrom="paragraph">
                        <wp:posOffset>28575</wp:posOffset>
                      </wp:positionV>
                      <wp:extent cx="0" cy="0"/>
                      <wp:effectExtent l="0" t="0" r="0" b="0"/>
                      <wp:wrapNone/>
                      <wp:docPr id="75122" name="Text Box 75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id="Text Box 75122" o:spid="_x0000_s1037" type="#_x0000_t202" style="position:absolute;margin-left:60.75pt;margin-top:2.25pt;width:0;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" stroked="f" strokeweight="3e-5mm">
                      <v:textbox inset="2.16pt,1.8pt,2.16pt,0">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Pr>
                <w:rFonts w:ascii="Arial" w:hAnsi="Arial" w:cs="Arial"/>
                <w:noProof/>
                <w:sz w:val="20"/>
                <w:lang w:eastAsia="en-AU"/>
              </w:rPr>
              <mc:AlternateContent>
                <mc:Choice Requires="wps">
                  <w:drawing>
                    <wp:anchor distT="0" distB="0" distL="114300" distR="114300" simplePos="0" relativeHeight="251676672" behindDoc="0" locked="0" layoutInCell="1" allowOverlap="1" wp14:anchorId="5E5F9908" wp14:editId="147EADA9">
                      <wp:simplePos x="0" y="0"/>
                      <wp:positionH relativeFrom="column">
                        <wp:posOffset>4038600</wp:posOffset>
                      </wp:positionH>
                      <wp:positionV relativeFrom="paragraph">
                        <wp:posOffset>28575</wp:posOffset>
                      </wp:positionV>
                      <wp:extent cx="0" cy="0"/>
                      <wp:effectExtent l="0" t="0" r="0" b="0"/>
                      <wp:wrapNone/>
                      <wp:docPr id="75125" name="Text Box 75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id="Text Box 75125" o:spid="_x0000_s1038" type="#_x0000_t202" style="position:absolute;margin-left:318pt;margin-top:2.2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" stroked="f" strokeweight="3e-5mm">
                      <v:textbox inset="2.16pt,1.8pt,2.16pt,0">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Pr>
                <w:rFonts w:ascii="Arial" w:hAnsi="Arial" w:cs="Arial"/>
                <w:noProof/>
                <w:sz w:val="20"/>
                <w:lang w:eastAsia="en-AU"/>
              </w:rPr>
              <mc:AlternateContent>
                <mc:Choice Requires="wps">
                  <w:drawing>
                    <wp:anchor distT="0" distB="0" distL="114300" distR="114300" simplePos="0" relativeHeight="251677696" behindDoc="0" locked="0" layoutInCell="1" allowOverlap="1" wp14:anchorId="5AD8F97F" wp14:editId="50E85374">
                      <wp:simplePos x="0" y="0"/>
                      <wp:positionH relativeFrom="column">
                        <wp:posOffset>4038600</wp:posOffset>
                      </wp:positionH>
                      <wp:positionV relativeFrom="paragraph">
                        <wp:posOffset>28575</wp:posOffset>
                      </wp:positionV>
                      <wp:extent cx="0" cy="0"/>
                      <wp:effectExtent l="0" t="0" r="0" b="0"/>
                      <wp:wrapNone/>
                      <wp:docPr id="75126" name="Text Box 75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B40057">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id="Text Box 75126" o:spid="_x0000_s1039" type="#_x0000_t202" style="position:absolute;margin-left:318pt;margin-top:2.25pt;width:0;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" stroked="f" strokeweight="3e-5mm">
                      <v:textbox inset="2.16pt,1.8pt,2.16pt,0">
                        <w:txbxContent>
                          <w:p w:rsidR="00952AF1" w:rsidRDefault="00952AF1" w:rsidP="00B40057">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Pr>
                <w:rFonts w:ascii="Arial" w:hAnsi="Arial" w:cs="Arial"/>
                <w:noProof/>
                <w:sz w:val="20"/>
                <w:lang w:eastAsia="en-AU"/>
              </w:rPr>
              <mc:AlternateContent>
                <mc:Choice Requires="wps">
                  <w:drawing>
                    <wp:anchor distT="0" distB="0" distL="114300" distR="114300" simplePos="0" relativeHeight="251678720" behindDoc="0" locked="0" layoutInCell="1" allowOverlap="1" wp14:anchorId="7BD66C91" wp14:editId="6C0FF84D">
                      <wp:simplePos x="0" y="0"/>
                      <wp:positionH relativeFrom="column">
                        <wp:posOffset>4038600</wp:posOffset>
                      </wp:positionH>
                      <wp:positionV relativeFrom="paragraph">
                        <wp:posOffset>28575</wp:posOffset>
                      </wp:positionV>
                      <wp:extent cx="0" cy="0"/>
                      <wp:effectExtent l="0" t="0" r="0" b="0"/>
                      <wp:wrapNone/>
                      <wp:docPr id="75127" name="Text Box 75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id="Text Box 75127" o:spid="_x0000_s1040" type="#_x0000_t202" style="position:absolute;margin-left:318pt;margin-top:2.25pt;width:0;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" stroked="f" strokeweight="3e-5mm">
                      <v:textbox inset="2.16pt,1.8pt,2.16pt,0">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Pr>
                <w:rFonts w:ascii="Arial" w:hAnsi="Arial" w:cs="Arial"/>
                <w:noProof/>
                <w:sz w:val="20"/>
                <w:lang w:eastAsia="en-AU"/>
              </w:rPr>
              <mc:AlternateContent>
                <mc:Choice Requires="wps">
                  <w:drawing>
                    <wp:anchor distT="0" distB="0" distL="114300" distR="114300" simplePos="0" relativeHeight="251679744" behindDoc="0" locked="0" layoutInCell="1" allowOverlap="1" wp14:anchorId="3BB584F4" wp14:editId="3DBA5C88">
                      <wp:simplePos x="0" y="0"/>
                      <wp:positionH relativeFrom="column">
                        <wp:posOffset>4038600</wp:posOffset>
                      </wp:positionH>
                      <wp:positionV relativeFrom="paragraph">
                        <wp:posOffset>28575</wp:posOffset>
                      </wp:positionV>
                      <wp:extent cx="0" cy="0"/>
                      <wp:effectExtent l="0" t="0" r="0" b="0"/>
                      <wp:wrapNone/>
                      <wp:docPr id="75128" name="Text Box 75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id="Text Box 75128" o:spid="_x0000_s1041" type="#_x0000_t202" style="position:absolute;margin-left:318pt;margin-top:2.25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" stroked="f" strokeweight="3e-5mm">
                      <v:textbox inset="2.16pt,1.8pt,2.16pt,0">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Pr>
                <w:rFonts w:ascii="Arial" w:hAnsi="Arial" w:cs="Arial"/>
                <w:noProof/>
                <w:sz w:val="20"/>
                <w:lang w:eastAsia="en-AU"/>
              </w:rPr>
              <mc:AlternateContent>
                <mc:Choice Requires="wps">
                  <w:drawing>
                    <wp:anchor distT="0" distB="0" distL="114300" distR="114300" simplePos="0" relativeHeight="251680768" behindDoc="0" locked="0" layoutInCell="1" allowOverlap="1" wp14:anchorId="317CA9B8" wp14:editId="1687C94B">
                      <wp:simplePos x="0" y="0"/>
                      <wp:positionH relativeFrom="column">
                        <wp:posOffset>4038600</wp:posOffset>
                      </wp:positionH>
                      <wp:positionV relativeFrom="paragraph">
                        <wp:posOffset>28575</wp:posOffset>
                      </wp:positionV>
                      <wp:extent cx="0" cy="0"/>
                      <wp:effectExtent l="0" t="0" r="0" b="0"/>
                      <wp:wrapNone/>
                      <wp:docPr id="75129" name="Text Box 75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id="Text Box 75129" o:spid="_x0000_s1042" type="#_x0000_t202" style="position:absolute;margin-left:318pt;margin-top:2.25pt;width:0;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" stroked="f" strokeweight="3e-5mm">
                      <v:textbox inset="2.16pt,1.8pt,2.16pt,0">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Pr>
                <w:rFonts w:ascii="Arial" w:hAnsi="Arial" w:cs="Arial"/>
                <w:noProof/>
                <w:sz w:val="20"/>
                <w:lang w:eastAsia="en-AU"/>
              </w:rPr>
              <mc:AlternateContent>
                <mc:Choice Requires="wps">
                  <w:drawing>
                    <wp:anchor distT="0" distB="0" distL="114300" distR="114300" simplePos="0" relativeHeight="251681792" behindDoc="0" locked="0" layoutInCell="1" allowOverlap="1" wp14:anchorId="724206BA" wp14:editId="6A090E85">
                      <wp:simplePos x="0" y="0"/>
                      <wp:positionH relativeFrom="column">
                        <wp:posOffset>4038600</wp:posOffset>
                      </wp:positionH>
                      <wp:positionV relativeFrom="paragraph">
                        <wp:posOffset>28575</wp:posOffset>
                      </wp:positionV>
                      <wp:extent cx="0" cy="0"/>
                      <wp:effectExtent l="0" t="0" r="0" b="0"/>
                      <wp:wrapNone/>
                      <wp:docPr id="75130" name="Text Box 75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B40057">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id="Text Box 75130" o:spid="_x0000_s1043" type="#_x0000_t202" style="position:absolute;margin-left:318pt;margin-top:2.25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" stroked="f" strokeweight="3e-5mm">
                      <v:textbox inset="2.16pt,1.8pt,2.16pt,0">
                        <w:txbxContent>
                          <w:p w:rsidR="00952AF1" w:rsidRDefault="00952AF1" w:rsidP="00B40057">
                            <w:r>
                              <w:rPr>
                                <w:rFonts w:ascii="Arial" w:hAnsi="Arial" w:cs="Arial"/>
                                <w:color w:val="000000"/>
                                <w:sz w:val="18"/>
                                <w:szCs w:val="18"/>
                              </w:rPr>
                              <w:t>19X2/X3</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Pr>
                <w:rFonts w:ascii="Arial" w:hAnsi="Arial" w:cs="Arial"/>
                <w:noProof/>
                <w:sz w:val="20"/>
                <w:lang w:eastAsia="en-AU"/>
              </w:rPr>
              <mc:AlternateContent>
                <mc:Choice Requires="wps">
                  <w:drawing>
                    <wp:anchor distT="0" distB="0" distL="114300" distR="114300" simplePos="0" relativeHeight="251682816" behindDoc="0" locked="0" layoutInCell="1" allowOverlap="1" wp14:anchorId="787EF561" wp14:editId="39988E1D">
                      <wp:simplePos x="0" y="0"/>
                      <wp:positionH relativeFrom="column">
                        <wp:posOffset>4038600</wp:posOffset>
                      </wp:positionH>
                      <wp:positionV relativeFrom="paragraph">
                        <wp:posOffset>28575</wp:posOffset>
                      </wp:positionV>
                      <wp:extent cx="0" cy="0"/>
                      <wp:effectExtent l="0" t="0" r="0" b="0"/>
                      <wp:wrapNone/>
                      <wp:docPr id="75131" name="Text Box 75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1">
                                    <a:solidFill>
                                      <a:srgbClr val="000000"/>
                                    </a:solidFill>
                                    <a:miter lim="800000"/>
                                    <a:headEnd/>
                                    <a:tailEnd/>
                                  </a14:hiddenLine>
                                </a:ext>
                              </a:extLst>
                            </wps:spPr>
                            <wps:txbx>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rPr>
                                      <w:rFonts w:ascii="Arial" w:hAnsi="Arial" w:cs="Arial"/>
                                      <w:color w:val="000000"/>
                                      <w:sz w:val="18"/>
                                      <w:szCs w:val="18"/>
                                    </w:rPr>
                                    <w:br/>
                                  </w:r>
                                  <w:proofErr w:type="spellStart"/>
                                  <w:r>
                                    <w:rPr>
                                      <w:rFonts w:ascii="Arial" w:hAnsi="Arial" w:cs="Arial"/>
                                      <w:color w:val="000000"/>
                                      <w:sz w:val="18"/>
                                      <w:szCs w:val="18"/>
                                    </w:rPr>
                                    <w:t>X</w:t>
                                  </w:r>
                                  <w:proofErr w:type="spellEnd"/>
                                  <w:r>
                                    <w:t xml:space="preserve"> </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id="Text Box 75131" o:spid="_x0000_s1044" type="#_x0000_t202" style="position:absolute;margin-left:318pt;margin-top:2.25pt;width:0;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" stroked="f" strokeweight="3e-5mm">
                      <v:textbox inset="2.16pt,1.8pt,2.16pt,0">
                        <w:txbxContent>
                          <w:p w:rsidR="00952AF1" w:rsidRDefault="00952AF1" w:rsidP="00B40057">
                            <w:r>
                              <w:rPr>
                                <w:rFonts w:ascii="Arial" w:hAnsi="Arial" w:cs="Arial"/>
                                <w:color w:val="000000"/>
                                <w:sz w:val="18"/>
                                <w:szCs w:val="18"/>
                              </w:rPr>
                              <w:t>19X3/X4</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rPr>
                                <w:rFonts w:ascii="Arial" w:hAnsi="Arial" w:cs="Arial"/>
                                <w:color w:val="000000"/>
                                <w:sz w:val="18"/>
                                <w:szCs w:val="18"/>
                              </w:rPr>
                              <w:br/>
                              <w:t>X</w:t>
                            </w:r>
                            <w:r>
                              <w:t xml:space="preserve"> </w:t>
                            </w:r>
                          </w:p>
                        </w:txbxContent>
                      </v:textbox>
                    </v:shape>
                  </w:pict>
                </mc:Fallback>
              </mc:AlternateContent>
            </w:r>
            <w:r w:rsidRPr="00397F96">
              <w:rPr>
                <w:rFonts w:ascii="Arial" w:hAnsi="Arial" w:cs="Arial"/>
                <w:sz w:val="20"/>
              </w:rPr>
              <w:t xml:space="preserve">The number of senior officers whose total fees, salaries, superannuation, non-monetary benefits and other benefits for the financial year fall within the following bands are: </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xml:space="preserve">  </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2015</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2014</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r w:rsidRPr="00397F96">
              <w:rPr>
                <w:rFonts w:ascii="Arial" w:hAnsi="Arial" w:cs="Arial"/>
                <w:b/>
                <w:bCs/>
                <w:sz w:val="20"/>
              </w:rPr>
              <w:t>Remuneration Band ($)</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80,001 - 90,000</w:t>
            </w:r>
            <w:r w:rsidRPr="00397F96">
              <w:rPr>
                <w:rFonts w:ascii="Arial" w:hAnsi="Arial" w:cs="Arial"/>
                <w:sz w:val="20"/>
                <w:vertAlign w:val="superscript"/>
              </w:rPr>
              <w:t>(a)</w:t>
            </w:r>
            <w:r w:rsidRPr="00397F96">
              <w:rPr>
                <w:rFonts w:ascii="Arial" w:hAnsi="Arial" w:cs="Arial"/>
                <w:sz w:val="20"/>
              </w:rPr>
              <w:t xml:space="preserve">  </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110,001 - 120,000</w:t>
            </w:r>
            <w:r w:rsidRPr="00397F96">
              <w:rPr>
                <w:rFonts w:ascii="Arial" w:hAnsi="Arial" w:cs="Arial"/>
                <w:sz w:val="20"/>
                <w:vertAlign w:val="superscript"/>
              </w:rPr>
              <w:t>(a)</w:t>
            </w:r>
            <w:r w:rsidRPr="00397F96">
              <w:rPr>
                <w:rFonts w:ascii="Arial" w:hAnsi="Arial" w:cs="Arial"/>
                <w:sz w:val="20"/>
              </w:rPr>
              <w:t xml:space="preserve">   </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120,001 - 130,000</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130,001 - 140,000</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140,001 - 150,000</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1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150,001 - 160,000</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160,001 - 170,000</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170,001 - 180,000</w:t>
            </w:r>
            <w:r w:rsidRPr="00397F96">
              <w:rPr>
                <w:rFonts w:ascii="Arial" w:hAnsi="Arial" w:cs="Arial"/>
                <w:sz w:val="20"/>
                <w:vertAlign w:val="superscript"/>
              </w:rPr>
              <w:t>(b)</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2</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190,001 - 200,000</w:t>
            </w:r>
            <w:r w:rsidRPr="00397F96">
              <w:rPr>
                <w:rFonts w:ascii="Arial" w:hAnsi="Arial" w:cs="Arial"/>
                <w:sz w:val="20"/>
                <w:vertAlign w:val="superscript"/>
              </w:rPr>
              <w:t>(b)</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230,001 - 240,000</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260,001 - 270,000</w:t>
            </w:r>
            <w:r w:rsidRPr="00397F96">
              <w:rPr>
                <w:rFonts w:ascii="Arial" w:hAnsi="Arial" w:cs="Arial"/>
                <w:sz w:val="20"/>
                <w:vertAlign w:val="superscript"/>
              </w:rPr>
              <w:t>(b)</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300,001 - 310,000</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00"/>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$000</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$000</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5372" w:type="dxa"/>
            <w:gridSpan w:val="4"/>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Base remuneration and superannuation</w:t>
            </w: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1,154</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1,010</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5372" w:type="dxa"/>
            <w:gridSpan w:val="4"/>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Annual leave and long service leave accruals</w:t>
            </w: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50</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(33)</w:t>
            </w: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Other benefits</w:t>
            </w: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69</w:t>
            </w: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30</w:t>
            </w:r>
          </w:p>
        </w:tc>
      </w:tr>
      <w:tr w:rsidR="00B40057" w:rsidRPr="00397F96" w:rsidTr="00B40057">
        <w:trPr>
          <w:trHeight w:val="300"/>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5372" w:type="dxa"/>
            <w:gridSpan w:val="4"/>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r w:rsidRPr="00397F96">
              <w:rPr>
                <w:rFonts w:ascii="Arial" w:hAnsi="Arial" w:cs="Arial"/>
                <w:b/>
                <w:bCs/>
                <w:sz w:val="20"/>
              </w:rPr>
              <w:t>Total remuneration of senior officers</w:t>
            </w:r>
          </w:p>
        </w:tc>
        <w:tc>
          <w:tcPr>
            <w:tcW w:w="1376" w:type="dxa"/>
            <w:gridSpan w:val="2"/>
            <w:tcBorders>
              <w:top w:val="single" w:sz="4" w:space="0" w:color="auto"/>
              <w:left w:val="nil"/>
              <w:bottom w:val="double" w:sz="6" w:space="0" w:color="auto"/>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1,273</w:t>
            </w:r>
          </w:p>
        </w:tc>
        <w:tc>
          <w:tcPr>
            <w:tcW w:w="1417" w:type="dxa"/>
            <w:gridSpan w:val="2"/>
            <w:tcBorders>
              <w:top w:val="single" w:sz="4" w:space="0" w:color="auto"/>
              <w:left w:val="nil"/>
              <w:bottom w:val="double" w:sz="6" w:space="0" w:color="auto"/>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1,007</w:t>
            </w:r>
          </w:p>
        </w:tc>
      </w:tr>
      <w:tr w:rsidR="00B40057" w:rsidRPr="00397F96" w:rsidTr="00B40057">
        <w:trPr>
          <w:trHeight w:val="300"/>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9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495"/>
        </w:trPr>
        <w:tc>
          <w:tcPr>
            <w:tcW w:w="9465" w:type="dxa"/>
            <w:gridSpan w:val="1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The total remuneration includes the superannuation expense incurred by the Commission in respect of senior officers.</w:t>
            </w:r>
          </w:p>
        </w:tc>
      </w:tr>
      <w:tr w:rsidR="00B40057" w:rsidRPr="00397F96" w:rsidTr="00B40057">
        <w:trPr>
          <w:trHeight w:val="285"/>
        </w:trPr>
        <w:tc>
          <w:tcPr>
            <w:tcW w:w="6672" w:type="dxa"/>
            <w:gridSpan w:val="8"/>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xml:space="preserve">No </w:t>
            </w:r>
            <w:proofErr w:type="gramStart"/>
            <w:r w:rsidRPr="00397F96">
              <w:rPr>
                <w:rFonts w:ascii="Arial" w:hAnsi="Arial" w:cs="Arial"/>
                <w:sz w:val="20"/>
              </w:rPr>
              <w:t>seniors</w:t>
            </w:r>
            <w:proofErr w:type="gramEnd"/>
            <w:r w:rsidRPr="00397F96">
              <w:rPr>
                <w:rFonts w:ascii="Arial" w:hAnsi="Arial" w:cs="Arial"/>
                <w:sz w:val="20"/>
              </w:rPr>
              <w:t xml:space="preserve"> officers are members of the Pension Scheme. </w:t>
            </w:r>
          </w:p>
        </w:tc>
        <w:tc>
          <w:tcPr>
            <w:tcW w:w="1376"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c>
          <w:tcPr>
            <w:tcW w:w="2956"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6672" w:type="dxa"/>
            <w:gridSpan w:val="8"/>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(a) Partial remuneration due to less than full year employment</w:t>
            </w:r>
          </w:p>
        </w:tc>
        <w:tc>
          <w:tcPr>
            <w:tcW w:w="1376" w:type="dxa"/>
            <w:gridSpan w:val="2"/>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6672" w:type="dxa"/>
            <w:gridSpan w:val="8"/>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(b) Senior officers received increased motor vehicle fringe benefits.</w:t>
            </w:r>
          </w:p>
        </w:tc>
        <w:tc>
          <w:tcPr>
            <w:tcW w:w="1376" w:type="dxa"/>
            <w:gridSpan w:val="2"/>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750" w:type="dxa"/>
            <w:gridSpan w:val="2"/>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550"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c>
          <w:tcPr>
            <w:tcW w:w="2956"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c>
          <w:tcPr>
            <w:tcW w:w="1417" w:type="dxa"/>
            <w:gridSpan w:val="2"/>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83"/>
        </w:trPr>
        <w:tc>
          <w:tcPr>
            <w:tcW w:w="9465" w:type="dxa"/>
            <w:gridSpan w:val="12"/>
            <w:tcBorders>
              <w:top w:val="nil"/>
              <w:left w:val="nil"/>
              <w:right w:val="nil"/>
            </w:tcBorders>
            <w:shd w:val="clear" w:color="auto" w:fill="auto"/>
            <w:noWrap/>
            <w:hideMark/>
          </w:tcPr>
          <w:p w:rsidR="00B40057" w:rsidRPr="00397F96" w:rsidRDefault="00B40057" w:rsidP="005D6CF9">
            <w:pPr>
              <w:spacing w:after="0" w:line="240" w:lineRule="auto"/>
              <w:rPr>
                <w:rFonts w:ascii="Arial" w:hAnsi="Arial" w:cs="Arial"/>
                <w:b/>
                <w:szCs w:val="24"/>
              </w:rPr>
            </w:pPr>
            <w:r w:rsidRPr="00397F96">
              <w:rPr>
                <w:rFonts w:ascii="Arial" w:hAnsi="Arial" w:cs="Arial"/>
                <w:b/>
                <w:szCs w:val="24"/>
              </w:rPr>
              <w:t>Note</w:t>
            </w:r>
            <w:r>
              <w:rPr>
                <w:rFonts w:ascii="Arial" w:hAnsi="Arial" w:cs="Arial"/>
                <w:b/>
                <w:szCs w:val="24"/>
              </w:rPr>
              <w:t xml:space="preserve"> </w:t>
            </w:r>
            <w:r w:rsidRPr="00397F96">
              <w:rPr>
                <w:rFonts w:ascii="Arial" w:hAnsi="Arial" w:cs="Arial"/>
                <w:b/>
                <w:szCs w:val="24"/>
              </w:rPr>
              <w:t>31.</w:t>
            </w:r>
            <w:r w:rsidRPr="00397F96">
              <w:rPr>
                <w:rFonts w:ascii="Arial" w:hAnsi="Arial" w:cs="Arial"/>
                <w:b/>
                <w:bCs/>
                <w:i/>
                <w:iCs/>
                <w:szCs w:val="24"/>
              </w:rPr>
              <w:t xml:space="preserve"> </w:t>
            </w:r>
            <w:r>
              <w:rPr>
                <w:rFonts w:ascii="Arial" w:hAnsi="Arial" w:cs="Arial"/>
                <w:b/>
                <w:bCs/>
                <w:i/>
                <w:iCs/>
                <w:szCs w:val="24"/>
              </w:rPr>
              <w:t xml:space="preserve">  </w:t>
            </w:r>
            <w:r w:rsidRPr="00397F96">
              <w:rPr>
                <w:rFonts w:ascii="Arial" w:hAnsi="Arial" w:cs="Arial"/>
                <w:b/>
                <w:bCs/>
                <w:i/>
                <w:iCs/>
                <w:szCs w:val="24"/>
              </w:rPr>
              <w:t>Remuneration of auditor</w:t>
            </w:r>
            <w:r w:rsidRPr="00397F96">
              <w:rPr>
                <w:rFonts w:ascii="Arial" w:hAnsi="Arial" w:cs="Arial"/>
                <w:b/>
                <w:noProof/>
                <w:szCs w:val="24"/>
                <w:lang w:eastAsia="en-AU"/>
              </w:rPr>
              <mc:AlternateContent>
                <mc:Choice Requires="wps">
                  <w:drawing>
                    <wp:anchor distT="0" distB="0" distL="114300" distR="114300" simplePos="0" relativeHeight="251683840" behindDoc="0" locked="0" layoutInCell="1" allowOverlap="1" wp14:anchorId="2C90BC63" wp14:editId="4797F13D">
                      <wp:simplePos x="0" y="0"/>
                      <wp:positionH relativeFrom="column">
                        <wp:posOffset>1638300</wp:posOffset>
                      </wp:positionH>
                      <wp:positionV relativeFrom="paragraph">
                        <wp:posOffset>0</wp:posOffset>
                      </wp:positionV>
                      <wp:extent cx="209550" cy="0"/>
                      <wp:effectExtent l="0" t="0" r="0" b="0"/>
                      <wp:wrapNone/>
                      <wp:docPr id="23567" name="Text Box 23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1">
                                <a:noFill/>
                                <a:miter lim="800000"/>
                                <a:headEnd/>
                                <a:tailEnd/>
                              </a:ln>
                            </wps:spPr>
                            <wps:txbx>
                              <w:txbxContent>
                                <w:p w:rsidR="00952AF1" w:rsidRDefault="00952AF1" w:rsidP="00B40057">
                                  <w:pPr>
                                    <w:pStyle w:val="NormalWeb"/>
                                    <w:spacing w:before="0" w:beforeAutospacing="0" w:after="0" w:afterAutospacing="0"/>
                                    <w:jc w:val="center"/>
                                  </w:pPr>
                                  <w:r>
                                    <w:rPr>
                                      <w:rFonts w:ascii="Arial" w:hAnsi="Arial" w:cs="Arial"/>
                                      <w:color w:val="000000"/>
                                      <w:sz w:val="18"/>
                                      <w:szCs w:val="18"/>
                                    </w:rPr>
                                    <w:t>19X3/X4</w:t>
                                  </w:r>
                                </w:p>
                                <w:p w:rsidR="00952AF1" w:rsidRDefault="00952AF1" w:rsidP="00B40057">
                                  <w:pPr>
                                    <w:pStyle w:val="NormalWeb"/>
                                    <w:spacing w:before="0" w:beforeAutospacing="0" w:after="0" w:afterAutospacing="0"/>
                                    <w:jc w:val="center"/>
                                  </w:pPr>
                                  <w:r>
                                    <w:rPr>
                                      <w:rFonts w:ascii="Arial" w:hAnsi="Arial" w:cs="Arial"/>
                                      <w:color w:val="000000"/>
                                      <w:sz w:val="18"/>
                                      <w:szCs w:val="18"/>
                                    </w:rPr>
                                    <w:t>X</w:t>
                                  </w:r>
                                </w:p>
                                <w:p w:rsidR="00952AF1" w:rsidRDefault="00952AF1" w:rsidP="00B40057">
                                  <w:pPr>
                                    <w:pStyle w:val="NormalWeb"/>
                                    <w:spacing w:before="0" w:beforeAutospacing="0" w:after="0" w:afterAutospacing="0"/>
                                    <w:jc w:val="center"/>
                                  </w:pPr>
                                  <w:r>
                                    <w:rPr>
                                      <w:rFonts w:ascii="Arial" w:hAnsi="Arial" w:cs="Arial"/>
                                      <w:color w:val="000000"/>
                                      <w:sz w:val="18"/>
                                      <w:szCs w:val="18"/>
                                    </w:rPr>
                                    <w:t>X</w:t>
                                  </w:r>
                                </w:p>
                                <w:p w:rsidR="00952AF1" w:rsidRDefault="00952AF1" w:rsidP="00B40057">
                                  <w:pPr>
                                    <w:pStyle w:val="NormalWeb"/>
                                    <w:spacing w:before="0" w:beforeAutospacing="0" w:after="0" w:afterAutospacing="0"/>
                                    <w:jc w:val="center"/>
                                  </w:pPr>
                                  <w:r>
                                    <w:rPr>
                                      <w:rFonts w:ascii="Arial" w:hAnsi="Arial" w:cs="Arial"/>
                                      <w:color w:val="000000"/>
                                      <w:sz w:val="18"/>
                                      <w:szCs w:val="18"/>
                                    </w:rPr>
                                    <w:t>X</w:t>
                                  </w:r>
                                </w:p>
                                <w:p w:rsidR="00952AF1" w:rsidRDefault="00952AF1" w:rsidP="00B40057">
                                  <w:pPr>
                                    <w:pStyle w:val="NormalWeb"/>
                                    <w:spacing w:before="0" w:beforeAutospacing="0" w:after="0" w:afterAutospacing="0"/>
                                    <w:jc w:val="center"/>
                                  </w:pPr>
                                  <w:r>
                                    <w:rPr>
                                      <w:rFonts w:ascii="Arial" w:hAnsi="Arial" w:cs="Arial"/>
                                      <w:color w:val="000000"/>
                                      <w:sz w:val="18"/>
                                      <w:szCs w:val="18"/>
                                    </w:rPr>
                                    <w:t>X</w:t>
                                  </w:r>
                                </w:p>
                              </w:txbxContent>
                            </wps:txbx>
                            <wps:bodyPr vertOverflow="clip" wrap="square" lIns="27432" tIns="22860" rIns="27432" bIns="0" anchor="t" upright="1"/>
                          </wps:wsp>
                        </a:graphicData>
                      </a:graphic>
                      <wp14:sizeRelH relativeFrom="page">
                        <wp14:pctWidth>0</wp14:pctWidth>
                      </wp14:sizeRelH>
                      <wp14:sizeRelV relativeFrom="page">
                        <wp14:pctHeight>0</wp14:pctHeight>
                      </wp14:sizeRelV>
                    </wp:anchor>
                  </w:drawing>
                </mc:Choice>
                <mc:Fallback>
                  <w:pict>
                    <v:shape id="Text Box 23567" o:spid="_x0000_s1045" type="#_x0000_t202" style="position:absolute;margin-left:129pt;margin-top:0;width:16.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" stroked="f" strokeweight="3e-5mm">
                      <v:textbox inset="2.16pt,1.8pt,2.16pt,0">
                        <w:txbxContent>
                          <w:p w:rsidR="00952AF1" w:rsidRDefault="00952AF1" w:rsidP="00B40057">
                            <w:pPr>
                              <w:pStyle w:val="NormalWeb"/>
                              <w:spacing w:before="0" w:beforeAutospacing="0" w:after="0" w:afterAutospacing="0"/>
                              <w:jc w:val="center"/>
                            </w:pPr>
                            <w:r>
                              <w:rPr>
                                <w:rFonts w:ascii="Arial" w:hAnsi="Arial" w:cs="Arial"/>
                                <w:color w:val="000000"/>
                                <w:sz w:val="18"/>
                                <w:szCs w:val="18"/>
                              </w:rPr>
                              <w:t>19X3/X4</w:t>
                            </w:r>
                          </w:p>
                          <w:p w:rsidR="00952AF1" w:rsidRDefault="00952AF1" w:rsidP="00B40057">
                            <w:pPr>
                              <w:pStyle w:val="NormalWeb"/>
                              <w:spacing w:before="0" w:beforeAutospacing="0" w:after="0" w:afterAutospacing="0"/>
                              <w:jc w:val="center"/>
                            </w:pPr>
                            <w:r>
                              <w:rPr>
                                <w:rFonts w:ascii="Arial" w:hAnsi="Arial" w:cs="Arial"/>
                                <w:color w:val="000000"/>
                                <w:sz w:val="18"/>
                                <w:szCs w:val="18"/>
                              </w:rPr>
                              <w:t>X</w:t>
                            </w:r>
                          </w:p>
                          <w:p w:rsidR="00952AF1" w:rsidRDefault="00952AF1" w:rsidP="00B40057">
                            <w:pPr>
                              <w:pStyle w:val="NormalWeb"/>
                              <w:spacing w:before="0" w:beforeAutospacing="0" w:after="0" w:afterAutospacing="0"/>
                              <w:jc w:val="center"/>
                            </w:pPr>
                            <w:r>
                              <w:rPr>
                                <w:rFonts w:ascii="Arial" w:hAnsi="Arial" w:cs="Arial"/>
                                <w:color w:val="000000"/>
                                <w:sz w:val="18"/>
                                <w:szCs w:val="18"/>
                              </w:rPr>
                              <w:t>X</w:t>
                            </w:r>
                          </w:p>
                          <w:p w:rsidR="00952AF1" w:rsidRDefault="00952AF1" w:rsidP="00B40057">
                            <w:pPr>
                              <w:pStyle w:val="NormalWeb"/>
                              <w:spacing w:before="0" w:beforeAutospacing="0" w:after="0" w:afterAutospacing="0"/>
                              <w:jc w:val="center"/>
                            </w:pPr>
                            <w:r>
                              <w:rPr>
                                <w:rFonts w:ascii="Arial" w:hAnsi="Arial" w:cs="Arial"/>
                                <w:color w:val="000000"/>
                                <w:sz w:val="18"/>
                                <w:szCs w:val="18"/>
                              </w:rPr>
                              <w:t>X</w:t>
                            </w:r>
                          </w:p>
                          <w:p w:rsidR="00952AF1" w:rsidRDefault="00952AF1" w:rsidP="00B40057">
                            <w:pPr>
                              <w:pStyle w:val="NormalWeb"/>
                              <w:spacing w:before="0" w:beforeAutospacing="0" w:after="0" w:afterAutospacing="0"/>
                              <w:jc w:val="center"/>
                            </w:pPr>
                            <w:r>
                              <w:rPr>
                                <w:rFonts w:ascii="Arial" w:hAnsi="Arial" w:cs="Arial"/>
                                <w:color w:val="000000"/>
                                <w:sz w:val="18"/>
                                <w:szCs w:val="18"/>
                              </w:rPr>
                              <w:t>X</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740"/>
            </w:tblGrid>
            <w:tr w:rsidR="00B40057" w:rsidRPr="00397F96" w:rsidTr="00B40057">
              <w:trPr>
                <w:trHeight w:val="315"/>
                <w:tblCellSpacing w:w="0" w:type="dxa"/>
              </w:trPr>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p>
              </w:tc>
            </w:tr>
          </w:tbl>
          <w:p w:rsidR="00B40057" w:rsidRPr="00397F96" w:rsidRDefault="00B40057" w:rsidP="005D6CF9">
            <w:pPr>
              <w:spacing w:after="0" w:line="240" w:lineRule="auto"/>
              <w:rPr>
                <w:rFonts w:ascii="Arial" w:hAnsi="Arial" w:cs="Arial"/>
                <w:b/>
                <w:szCs w:val="24"/>
              </w:rPr>
            </w:pPr>
          </w:p>
        </w:tc>
      </w:tr>
      <w:tr w:rsidR="00B40057" w:rsidRPr="00397F96" w:rsidTr="00B40057">
        <w:trPr>
          <w:gridAfter w:val="1"/>
          <w:wAfter w:w="289" w:type="dxa"/>
          <w:trHeight w:val="555"/>
        </w:trPr>
        <w:tc>
          <w:tcPr>
            <w:tcW w:w="9176" w:type="dxa"/>
            <w:gridSpan w:val="11"/>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Remuneration paid or payable to the Auditor General in respect of the audit for the current financial year is as follows:</w:t>
            </w:r>
          </w:p>
        </w:tc>
      </w:tr>
      <w:tr w:rsidR="00B40057" w:rsidRPr="00397F96" w:rsidTr="00B40057">
        <w:trPr>
          <w:gridAfter w:val="1"/>
          <w:wAfter w:w="289" w:type="dxa"/>
          <w:trHeight w:val="285"/>
        </w:trPr>
        <w:tc>
          <w:tcPr>
            <w:tcW w:w="7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3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7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289" w:type="dxa"/>
          <w:trHeight w:val="285"/>
        </w:trPr>
        <w:tc>
          <w:tcPr>
            <w:tcW w:w="7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3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7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2015</w:t>
            </w: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2014</w:t>
            </w:r>
          </w:p>
        </w:tc>
      </w:tr>
      <w:tr w:rsidR="00B40057" w:rsidRPr="00397F96" w:rsidTr="00B40057">
        <w:trPr>
          <w:gridAfter w:val="1"/>
          <w:wAfter w:w="289" w:type="dxa"/>
          <w:trHeight w:val="285"/>
        </w:trPr>
        <w:tc>
          <w:tcPr>
            <w:tcW w:w="7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3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7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$000</w:t>
            </w: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$000</w:t>
            </w:r>
          </w:p>
        </w:tc>
      </w:tr>
      <w:tr w:rsidR="00B40057" w:rsidRPr="00397F96" w:rsidTr="00B40057">
        <w:trPr>
          <w:gridAfter w:val="1"/>
          <w:wAfter w:w="289" w:type="dxa"/>
          <w:trHeight w:val="285"/>
        </w:trPr>
        <w:tc>
          <w:tcPr>
            <w:tcW w:w="7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3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75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289" w:type="dxa"/>
          <w:trHeight w:val="630"/>
        </w:trPr>
        <w:tc>
          <w:tcPr>
            <w:tcW w:w="6424" w:type="dxa"/>
            <w:gridSpan w:val="7"/>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Auditing the accounts, controls,  financial statements and key performance indicators</w:t>
            </w: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46</w:t>
            </w: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44</w:t>
            </w:r>
          </w:p>
        </w:tc>
      </w:tr>
      <w:tr w:rsidR="00B40057" w:rsidRPr="00397F96" w:rsidTr="00B40057">
        <w:trPr>
          <w:gridAfter w:val="1"/>
          <w:wAfter w:w="289" w:type="dxa"/>
          <w:trHeight w:val="315"/>
        </w:trPr>
        <w:tc>
          <w:tcPr>
            <w:tcW w:w="7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3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756" w:type="dxa"/>
            <w:gridSpan w:val="2"/>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single" w:sz="4" w:space="0" w:color="auto"/>
              <w:left w:val="nil"/>
              <w:bottom w:val="double" w:sz="6" w:space="0" w:color="auto"/>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46</w:t>
            </w:r>
          </w:p>
        </w:tc>
        <w:tc>
          <w:tcPr>
            <w:tcW w:w="1376" w:type="dxa"/>
            <w:gridSpan w:val="2"/>
            <w:tcBorders>
              <w:top w:val="single" w:sz="4" w:space="0" w:color="auto"/>
              <w:left w:val="nil"/>
              <w:bottom w:val="double" w:sz="6" w:space="0" w:color="auto"/>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44</w:t>
            </w:r>
          </w:p>
        </w:tc>
      </w:tr>
      <w:tr w:rsidR="00B40057" w:rsidRPr="00397F96" w:rsidTr="00B40057">
        <w:trPr>
          <w:gridAfter w:val="1"/>
          <w:wAfter w:w="289" w:type="dxa"/>
          <w:trHeight w:val="315"/>
        </w:trPr>
        <w:tc>
          <w:tcPr>
            <w:tcW w:w="7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3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756" w:type="dxa"/>
            <w:gridSpan w:val="2"/>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p>
        </w:tc>
        <w:tc>
          <w:tcPr>
            <w:tcW w:w="2416" w:type="dxa"/>
            <w:gridSpan w:val="2"/>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c>
          <w:tcPr>
            <w:tcW w:w="13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r>
    </w:tbl>
    <w:p w:rsidR="00B40057" w:rsidRDefault="00B40057" w:rsidP="005D6CF9">
      <w:pPr>
        <w:spacing w:after="0" w:line="240" w:lineRule="auto"/>
      </w:pPr>
    </w:p>
    <w:p w:rsidR="00B40057" w:rsidRDefault="00B40057" w:rsidP="00B40057">
      <w:r>
        <w:br w:type="page"/>
      </w:r>
    </w:p>
    <w:tbl>
      <w:tblPr>
        <w:tblW w:w="9465" w:type="dxa"/>
        <w:tblInd w:w="108" w:type="dxa"/>
        <w:tblLook w:val="04A0" w:firstRow="1" w:lastRow="0" w:firstColumn="1" w:lastColumn="0" w:noHBand="0" w:noVBand="1"/>
      </w:tblPr>
      <w:tblGrid>
        <w:gridCol w:w="750"/>
        <w:gridCol w:w="550"/>
        <w:gridCol w:w="2740"/>
        <w:gridCol w:w="2336"/>
        <w:gridCol w:w="1376"/>
        <w:gridCol w:w="1376"/>
        <w:gridCol w:w="337"/>
      </w:tblGrid>
      <w:tr w:rsidR="00B40057" w:rsidRPr="00397F96" w:rsidTr="00B40057">
        <w:trPr>
          <w:trHeight w:val="285"/>
        </w:trPr>
        <w:tc>
          <w:tcPr>
            <w:tcW w:w="9465" w:type="dxa"/>
            <w:gridSpan w:val="7"/>
            <w:tcBorders>
              <w:top w:val="nil"/>
              <w:left w:val="nil"/>
              <w:bottom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sz w:val="20"/>
              </w:rPr>
            </w:pPr>
            <w:r w:rsidRPr="00397F96">
              <w:rPr>
                <w:rFonts w:ascii="Arial" w:hAnsi="Arial" w:cs="Arial"/>
                <w:b/>
                <w:bCs/>
                <w:color w:val="000000"/>
                <w:sz w:val="20"/>
              </w:rPr>
              <w:lastRenderedPageBreak/>
              <w:t>Western Australian Electoral Commission - 30 June 2015</w:t>
            </w:r>
          </w:p>
        </w:tc>
      </w:tr>
      <w:tr w:rsidR="00B40057" w:rsidRPr="00397F96" w:rsidTr="00B40057">
        <w:trPr>
          <w:gridAfter w:val="1"/>
          <w:wAfter w:w="337" w:type="dxa"/>
          <w:trHeight w:val="315"/>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r w:rsidRPr="00397F96">
              <w:rPr>
                <w:rFonts w:ascii="Arial" w:hAnsi="Arial" w:cs="Arial"/>
                <w:b/>
                <w:bCs/>
                <w:i/>
                <w:iCs/>
                <w:szCs w:val="24"/>
              </w:rPr>
              <w:t>Note</w:t>
            </w: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Cs w:val="24"/>
              </w:rPr>
            </w:pPr>
            <w:r w:rsidRPr="00397F96">
              <w:rPr>
                <w:rFonts w:ascii="Arial" w:hAnsi="Arial" w:cs="Arial"/>
                <w:b/>
                <w:bCs/>
                <w:szCs w:val="24"/>
              </w:rPr>
              <w:t>32.</w:t>
            </w: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r w:rsidRPr="00397F96">
              <w:rPr>
                <w:rFonts w:ascii="Arial" w:hAnsi="Arial" w:cs="Arial"/>
                <w:b/>
                <w:bCs/>
                <w:i/>
                <w:iCs/>
                <w:szCs w:val="24"/>
              </w:rPr>
              <w:t>Related bodies</w:t>
            </w: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9128" w:type="dxa"/>
            <w:gridSpan w:val="6"/>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xml:space="preserve">The Commission had no related bodies during the financial year. </w:t>
            </w: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740" w:type="dxa"/>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15"/>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r w:rsidRPr="00397F96">
              <w:rPr>
                <w:rFonts w:ascii="Arial" w:hAnsi="Arial" w:cs="Arial"/>
                <w:b/>
                <w:bCs/>
                <w:i/>
                <w:iCs/>
                <w:szCs w:val="24"/>
              </w:rPr>
              <w:t>Note</w:t>
            </w: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Cs w:val="24"/>
              </w:rPr>
            </w:pPr>
            <w:r w:rsidRPr="00397F96">
              <w:rPr>
                <w:rFonts w:ascii="Arial" w:hAnsi="Arial" w:cs="Arial"/>
                <w:b/>
                <w:bCs/>
                <w:szCs w:val="24"/>
              </w:rPr>
              <w:t>33.</w:t>
            </w: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r w:rsidRPr="00397F96">
              <w:rPr>
                <w:rFonts w:ascii="Arial" w:hAnsi="Arial" w:cs="Arial"/>
                <w:b/>
                <w:bCs/>
                <w:i/>
                <w:iCs/>
                <w:szCs w:val="24"/>
              </w:rPr>
              <w:t>Affiliated bodies</w:t>
            </w: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9128" w:type="dxa"/>
            <w:gridSpan w:val="6"/>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xml:space="preserve">The Commission had no affiliated bodies during the financial year. </w:t>
            </w: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740" w:type="dxa"/>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15"/>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r w:rsidRPr="00397F96">
              <w:rPr>
                <w:rFonts w:ascii="Arial" w:hAnsi="Arial" w:cs="Arial"/>
                <w:b/>
                <w:bCs/>
                <w:i/>
                <w:iCs/>
                <w:szCs w:val="24"/>
              </w:rPr>
              <w:t>Note</w:t>
            </w: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Cs w:val="24"/>
              </w:rPr>
            </w:pPr>
            <w:r w:rsidRPr="00397F96">
              <w:rPr>
                <w:rFonts w:ascii="Arial" w:hAnsi="Arial" w:cs="Arial"/>
                <w:b/>
                <w:bCs/>
                <w:szCs w:val="24"/>
              </w:rPr>
              <w:t>34.</w:t>
            </w:r>
          </w:p>
        </w:tc>
        <w:tc>
          <w:tcPr>
            <w:tcW w:w="50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r w:rsidRPr="00397F96">
              <w:rPr>
                <w:rFonts w:ascii="Arial" w:hAnsi="Arial" w:cs="Arial"/>
                <w:b/>
                <w:bCs/>
                <w:i/>
                <w:iCs/>
                <w:szCs w:val="24"/>
              </w:rPr>
              <w:t>Special Purpose Account</w:t>
            </w: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15"/>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Cs w:val="24"/>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4040" w:type="dxa"/>
            <w:gridSpan w:val="3"/>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i/>
                <w:iCs/>
                <w:sz w:val="20"/>
              </w:rPr>
            </w:pPr>
            <w:r w:rsidRPr="00397F96">
              <w:rPr>
                <w:rFonts w:ascii="Arial" w:hAnsi="Arial" w:cs="Arial"/>
                <w:i/>
                <w:iCs/>
                <w:sz w:val="20"/>
              </w:rPr>
              <w:t>Nomination Fees</w:t>
            </w:r>
            <w:r w:rsidRPr="00397F96">
              <w:rPr>
                <w:rFonts w:ascii="Arial" w:hAnsi="Arial" w:cs="Arial"/>
                <w:i/>
                <w:iCs/>
                <w:sz w:val="20"/>
                <w:vertAlign w:val="superscript"/>
              </w:rPr>
              <w:t xml:space="preserve"> (a)</w:t>
            </w: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r>
      <w:tr w:rsidR="00B40057" w:rsidRPr="00397F96" w:rsidTr="00B40057">
        <w:trPr>
          <w:gridAfter w:val="1"/>
          <w:wAfter w:w="337" w:type="dxa"/>
          <w:trHeight w:val="600"/>
        </w:trPr>
        <w:tc>
          <w:tcPr>
            <w:tcW w:w="9128" w:type="dxa"/>
            <w:gridSpan w:val="6"/>
            <w:tcBorders>
              <w:top w:val="nil"/>
              <w:left w:val="nil"/>
              <w:bottom w:val="nil"/>
              <w:right w:val="nil"/>
            </w:tcBorders>
            <w:shd w:val="clear" w:color="auto" w:fill="auto"/>
            <w:vAlign w:val="center"/>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The Commission is responsible for collection of election candidate nomination fees.  These fees are paid directly to the Consolidated Account or refunded to candidates.</w:t>
            </w: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color w:val="000080"/>
                <w:sz w:val="20"/>
              </w:rPr>
            </w:pPr>
          </w:p>
        </w:tc>
        <w:tc>
          <w:tcPr>
            <w:tcW w:w="2740"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color w:val="000080"/>
                <w:sz w:val="20"/>
              </w:rPr>
            </w:pPr>
          </w:p>
        </w:tc>
        <w:tc>
          <w:tcPr>
            <w:tcW w:w="2336"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color w:val="000080"/>
                <w:sz w:val="20"/>
              </w:rPr>
            </w:pPr>
          </w:p>
        </w:tc>
        <w:tc>
          <w:tcPr>
            <w:tcW w:w="1376"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color w:val="000080"/>
                <w:sz w:val="20"/>
              </w:rPr>
            </w:pPr>
          </w:p>
        </w:tc>
        <w:tc>
          <w:tcPr>
            <w:tcW w:w="1376"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color w:val="000080"/>
                <w:sz w:val="20"/>
              </w:rPr>
            </w:pP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color w:val="000080"/>
                <w:sz w:val="20"/>
              </w:rPr>
            </w:pPr>
          </w:p>
        </w:tc>
        <w:tc>
          <w:tcPr>
            <w:tcW w:w="550"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color w:val="000080"/>
                <w:sz w:val="20"/>
              </w:rPr>
            </w:pPr>
          </w:p>
        </w:tc>
        <w:tc>
          <w:tcPr>
            <w:tcW w:w="2740"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color w:val="000080"/>
                <w:sz w:val="20"/>
              </w:rPr>
            </w:pPr>
          </w:p>
        </w:tc>
        <w:tc>
          <w:tcPr>
            <w:tcW w:w="2336"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color w:val="000080"/>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2015</w:t>
            </w: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2014</w:t>
            </w: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$000</w:t>
            </w: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$000</w:t>
            </w: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3290" w:type="dxa"/>
            <w:gridSpan w:val="2"/>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Balance at the start of the period</w:t>
            </w: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xml:space="preserve">                 -   </w:t>
            </w:r>
          </w:p>
        </w:tc>
        <w:tc>
          <w:tcPr>
            <w:tcW w:w="1376"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xml:space="preserve">                 -   </w:t>
            </w: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3290" w:type="dxa"/>
            <w:gridSpan w:val="2"/>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Receipts</w:t>
            </w: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2</w:t>
            </w:r>
          </w:p>
        </w:tc>
        <w:tc>
          <w:tcPr>
            <w:tcW w:w="1376"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xml:space="preserve">                 -   </w:t>
            </w: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3290" w:type="dxa"/>
            <w:gridSpan w:val="2"/>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Payments</w:t>
            </w: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(2)</w:t>
            </w:r>
          </w:p>
        </w:tc>
        <w:tc>
          <w:tcPr>
            <w:tcW w:w="1376"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xml:space="preserve">                 -   </w:t>
            </w:r>
          </w:p>
        </w:tc>
      </w:tr>
      <w:tr w:rsidR="00B40057" w:rsidRPr="00397F96" w:rsidTr="00B40057">
        <w:trPr>
          <w:gridAfter w:val="1"/>
          <w:wAfter w:w="337" w:type="dxa"/>
          <w:trHeight w:val="315"/>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3290" w:type="dxa"/>
            <w:gridSpan w:val="2"/>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b/>
                <w:bCs/>
                <w:sz w:val="20"/>
              </w:rPr>
            </w:pPr>
            <w:r w:rsidRPr="00397F96">
              <w:rPr>
                <w:rFonts w:ascii="Arial" w:hAnsi="Arial" w:cs="Arial"/>
                <w:b/>
                <w:bCs/>
                <w:sz w:val="20"/>
              </w:rPr>
              <w:t>Balance at end of period</w:t>
            </w: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single" w:sz="4" w:space="0" w:color="auto"/>
              <w:left w:val="nil"/>
              <w:bottom w:val="double" w:sz="6" w:space="0" w:color="auto"/>
              <w:right w:val="nil"/>
            </w:tcBorders>
            <w:shd w:val="clear" w:color="auto" w:fill="auto"/>
            <w:noWrap/>
            <w:vAlign w:val="center"/>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 xml:space="preserve">                 -   </w:t>
            </w:r>
          </w:p>
        </w:tc>
        <w:tc>
          <w:tcPr>
            <w:tcW w:w="1376" w:type="dxa"/>
            <w:tcBorders>
              <w:top w:val="single" w:sz="4" w:space="0" w:color="auto"/>
              <w:left w:val="nil"/>
              <w:bottom w:val="double" w:sz="6" w:space="0" w:color="auto"/>
              <w:right w:val="nil"/>
            </w:tcBorders>
            <w:shd w:val="clear" w:color="auto" w:fill="auto"/>
            <w:noWrap/>
            <w:vAlign w:val="center"/>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 xml:space="preserve">                 -   </w:t>
            </w:r>
          </w:p>
        </w:tc>
      </w:tr>
      <w:tr w:rsidR="00B40057" w:rsidRPr="00397F96" w:rsidTr="00B40057">
        <w:trPr>
          <w:gridAfter w:val="1"/>
          <w:wAfter w:w="337" w:type="dxa"/>
          <w:trHeight w:val="315"/>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6376" w:type="dxa"/>
            <w:gridSpan w:val="4"/>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(a) Established under section 16(1)(d) of FMA</w:t>
            </w: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center"/>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15"/>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r w:rsidRPr="00397F96">
              <w:rPr>
                <w:rFonts w:ascii="Arial" w:hAnsi="Arial" w:cs="Arial"/>
                <w:b/>
                <w:bCs/>
                <w:i/>
                <w:iCs/>
                <w:szCs w:val="24"/>
              </w:rPr>
              <w:t>Note</w:t>
            </w: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Cs w:val="24"/>
              </w:rPr>
            </w:pPr>
            <w:r w:rsidRPr="00397F96">
              <w:rPr>
                <w:rFonts w:ascii="Arial" w:hAnsi="Arial" w:cs="Arial"/>
                <w:b/>
                <w:bCs/>
                <w:szCs w:val="24"/>
              </w:rPr>
              <w:t>35.</w:t>
            </w:r>
          </w:p>
        </w:tc>
        <w:tc>
          <w:tcPr>
            <w:tcW w:w="507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Cs w:val="24"/>
              </w:rPr>
            </w:pPr>
            <w:r w:rsidRPr="00397F96">
              <w:rPr>
                <w:rFonts w:ascii="Arial" w:hAnsi="Arial" w:cs="Arial"/>
                <w:b/>
                <w:bCs/>
                <w:i/>
                <w:iCs/>
                <w:szCs w:val="24"/>
              </w:rPr>
              <w:t>Supplementary financial information</w:t>
            </w: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15"/>
        </w:trPr>
        <w:tc>
          <w:tcPr>
            <w:tcW w:w="4040" w:type="dxa"/>
            <w:gridSpan w:val="3"/>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Cs w:val="24"/>
              </w:rPr>
            </w:pPr>
            <w:r w:rsidRPr="00397F96">
              <w:rPr>
                <w:rFonts w:ascii="Arial" w:hAnsi="Arial" w:cs="Arial"/>
                <w:b/>
                <w:bCs/>
                <w:szCs w:val="24"/>
              </w:rPr>
              <w:t>(a) Write-offs</w:t>
            </w: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9128" w:type="dxa"/>
            <w:gridSpan w:val="6"/>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During the year there were no write-offs</w:t>
            </w: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15"/>
        </w:trPr>
        <w:tc>
          <w:tcPr>
            <w:tcW w:w="6376" w:type="dxa"/>
            <w:gridSpan w:val="4"/>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Cs w:val="24"/>
              </w:rPr>
            </w:pPr>
            <w:r w:rsidRPr="00397F96">
              <w:rPr>
                <w:rFonts w:ascii="Arial" w:hAnsi="Arial" w:cs="Arial"/>
                <w:b/>
                <w:bCs/>
                <w:szCs w:val="24"/>
              </w:rPr>
              <w:t>(b) Losses through theft, defaults and other causes</w:t>
            </w: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9128" w:type="dxa"/>
            <w:gridSpan w:val="6"/>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During the year there were no thefts or defaults</w:t>
            </w:r>
          </w:p>
        </w:tc>
      </w:tr>
      <w:tr w:rsidR="00B40057" w:rsidRPr="00397F96" w:rsidTr="00B40057">
        <w:trPr>
          <w:gridAfter w:val="1"/>
          <w:wAfter w:w="337" w:type="dxa"/>
          <w:trHeight w:val="300"/>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p>
        </w:tc>
      </w:tr>
      <w:tr w:rsidR="00B40057" w:rsidRPr="00397F96" w:rsidTr="00B40057">
        <w:trPr>
          <w:gridAfter w:val="1"/>
          <w:wAfter w:w="337" w:type="dxa"/>
          <w:trHeight w:val="390"/>
        </w:trPr>
        <w:tc>
          <w:tcPr>
            <w:tcW w:w="4040" w:type="dxa"/>
            <w:gridSpan w:val="3"/>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Cs w:val="24"/>
              </w:rPr>
            </w:pPr>
            <w:r w:rsidRPr="00397F96">
              <w:rPr>
                <w:rFonts w:ascii="Arial" w:hAnsi="Arial" w:cs="Arial"/>
                <w:b/>
                <w:bCs/>
                <w:szCs w:val="24"/>
              </w:rPr>
              <w:t>(c) Gift of public property</w:t>
            </w: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gridAfter w:val="1"/>
          <w:wAfter w:w="337" w:type="dxa"/>
          <w:trHeight w:val="300"/>
        </w:trPr>
        <w:tc>
          <w:tcPr>
            <w:tcW w:w="9128" w:type="dxa"/>
            <w:gridSpan w:val="6"/>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During the year there were no gift of public property</w:t>
            </w:r>
          </w:p>
        </w:tc>
      </w:tr>
      <w:tr w:rsidR="00B40057" w:rsidRPr="00397F96" w:rsidTr="00B40057">
        <w:trPr>
          <w:gridAfter w:val="1"/>
          <w:wAfter w:w="337" w:type="dxa"/>
          <w:trHeight w:val="285"/>
        </w:trPr>
        <w:tc>
          <w:tcPr>
            <w:tcW w:w="7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55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2740"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2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7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bl>
    <w:p w:rsidR="00B40057" w:rsidRDefault="00B40057" w:rsidP="00B40057"/>
    <w:p w:rsidR="00B40057" w:rsidRDefault="00B40057" w:rsidP="00B40057">
      <w:pPr>
        <w:sectPr w:rsidR="00B40057" w:rsidSect="005D6CF9">
          <w:pgSz w:w="11900" w:h="16840" w:code="9"/>
          <w:pgMar w:top="737" w:right="843" w:bottom="567" w:left="1134" w:header="720" w:footer="720" w:gutter="0"/>
          <w:cols w:space="0"/>
          <w:titlePg/>
          <w:docGrid w:linePitch="326"/>
        </w:sectPr>
      </w:pPr>
    </w:p>
    <w:tbl>
      <w:tblPr>
        <w:tblW w:w="15033" w:type="dxa"/>
        <w:tblInd w:w="108" w:type="dxa"/>
        <w:tblLook w:val="04A0" w:firstRow="1" w:lastRow="0" w:firstColumn="1" w:lastColumn="0" w:noHBand="0" w:noVBand="1"/>
      </w:tblPr>
      <w:tblGrid>
        <w:gridCol w:w="6816"/>
        <w:gridCol w:w="1336"/>
        <w:gridCol w:w="1336"/>
        <w:gridCol w:w="1336"/>
        <w:gridCol w:w="1336"/>
        <w:gridCol w:w="1456"/>
        <w:gridCol w:w="1417"/>
      </w:tblGrid>
      <w:tr w:rsidR="00B40057" w:rsidRPr="00397F96" w:rsidTr="00B40057">
        <w:trPr>
          <w:trHeight w:val="255"/>
        </w:trPr>
        <w:tc>
          <w:tcPr>
            <w:tcW w:w="15033" w:type="dxa"/>
            <w:gridSpan w:val="7"/>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sz w:val="20"/>
              </w:rPr>
            </w:pPr>
            <w:r w:rsidRPr="00397F96">
              <w:rPr>
                <w:rFonts w:ascii="Arial" w:hAnsi="Arial" w:cs="Arial"/>
                <w:b/>
                <w:bCs/>
                <w:color w:val="000000"/>
                <w:sz w:val="20"/>
              </w:rPr>
              <w:lastRenderedPageBreak/>
              <w:t>Western Australian Electoral Commission - 30 June 2015</w:t>
            </w:r>
          </w:p>
        </w:tc>
      </w:tr>
      <w:tr w:rsidR="00B40057" w:rsidRPr="00397F96" w:rsidTr="00B40057">
        <w:trPr>
          <w:trHeight w:val="300"/>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405"/>
        </w:trPr>
        <w:tc>
          <w:tcPr>
            <w:tcW w:w="13616" w:type="dxa"/>
            <w:gridSpan w:val="6"/>
            <w:tcBorders>
              <w:top w:val="nil"/>
              <w:left w:val="nil"/>
              <w:bottom w:val="nil"/>
              <w:right w:val="nil"/>
            </w:tcBorders>
            <w:shd w:val="clear" w:color="auto" w:fill="auto"/>
            <w:noWrap/>
            <w:vAlign w:val="bottom"/>
            <w:hideMark/>
          </w:tcPr>
          <w:p w:rsidR="00B40057" w:rsidRPr="00397F96" w:rsidRDefault="00B40057" w:rsidP="00531416">
            <w:pPr>
              <w:pStyle w:val="Heading2ARtitlecase"/>
            </w:pPr>
            <w:r w:rsidRPr="00397F96">
              <w:t>Certification of Key Perfo</w:t>
            </w:r>
            <w:r>
              <w:t>r</w:t>
            </w:r>
            <w:r w:rsidRPr="00397F96">
              <w:t>mance Indicator</w:t>
            </w: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18"/>
                <w:szCs w:val="18"/>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18"/>
                <w:szCs w:val="18"/>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18"/>
                <w:szCs w:val="18"/>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18"/>
                <w:szCs w:val="18"/>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18"/>
                <w:szCs w:val="18"/>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930"/>
        </w:trPr>
        <w:tc>
          <w:tcPr>
            <w:tcW w:w="15033" w:type="dxa"/>
            <w:gridSpan w:val="7"/>
            <w:tcBorders>
              <w:top w:val="nil"/>
              <w:left w:val="nil"/>
              <w:bottom w:val="nil"/>
              <w:right w:val="nil"/>
            </w:tcBorders>
            <w:shd w:val="clear" w:color="auto" w:fill="auto"/>
            <w:vAlign w:val="center"/>
            <w:hideMark/>
          </w:tcPr>
          <w:p w:rsidR="00B40057" w:rsidRPr="00397F96" w:rsidRDefault="00B40057" w:rsidP="005D6CF9">
            <w:pPr>
              <w:spacing w:after="0" w:line="240" w:lineRule="auto"/>
              <w:rPr>
                <w:rFonts w:ascii="Arial" w:hAnsi="Arial" w:cs="Arial"/>
                <w:szCs w:val="24"/>
              </w:rPr>
            </w:pPr>
            <w:r w:rsidRPr="00397F96">
              <w:rPr>
                <w:rFonts w:ascii="Arial" w:hAnsi="Arial" w:cs="Arial"/>
                <w:szCs w:val="24"/>
              </w:rPr>
              <w:t>I hereby certify that the key perfo</w:t>
            </w:r>
            <w:r>
              <w:rPr>
                <w:rFonts w:ascii="Arial" w:hAnsi="Arial" w:cs="Arial"/>
                <w:szCs w:val="24"/>
              </w:rPr>
              <w:t>r</w:t>
            </w:r>
            <w:r w:rsidRPr="00397F96">
              <w:rPr>
                <w:rFonts w:ascii="Arial" w:hAnsi="Arial" w:cs="Arial"/>
                <w:szCs w:val="24"/>
              </w:rPr>
              <w:t>mance indicators are based on proper records, are relevant and appropriate for assisting users to assess the Western Australian Electoral Commission's performance, and fairly represent the performance of the Western Australian Electoral Commission for the financial year ended 30 June 2015.</w:t>
            </w: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00"/>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b/>
                <w:bCs/>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1456" w:type="dxa"/>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00"/>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Cs w:val="24"/>
              </w:rPr>
            </w:pPr>
            <w:r w:rsidRPr="00397F96">
              <w:rPr>
                <w:rFonts w:ascii="Arial" w:hAnsi="Arial" w:cs="Arial"/>
                <w:szCs w:val="24"/>
              </w:rPr>
              <w:t>David Kerslake</w:t>
            </w: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00"/>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Cs w:val="24"/>
              </w:rPr>
            </w:pPr>
            <w:r w:rsidRPr="00397F96">
              <w:rPr>
                <w:rFonts w:ascii="Arial" w:hAnsi="Arial" w:cs="Arial"/>
                <w:szCs w:val="24"/>
              </w:rPr>
              <w:t>Electoral Commissioner</w:t>
            </w: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00"/>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Cs w:val="24"/>
              </w:rPr>
            </w:pPr>
            <w:r w:rsidRPr="00397F96">
              <w:rPr>
                <w:rFonts w:ascii="Arial" w:hAnsi="Arial" w:cs="Arial"/>
                <w:szCs w:val="24"/>
              </w:rPr>
              <w:t>8 September 2015</w:t>
            </w: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765"/>
        </w:trPr>
        <w:tc>
          <w:tcPr>
            <w:tcW w:w="15033" w:type="dxa"/>
            <w:gridSpan w:val="7"/>
            <w:tcBorders>
              <w:top w:val="nil"/>
              <w:left w:val="nil"/>
              <w:bottom w:val="nil"/>
              <w:right w:val="nil"/>
            </w:tcBorders>
            <w:shd w:val="clear" w:color="auto" w:fill="auto"/>
            <w:vAlign w:val="center"/>
            <w:hideMark/>
          </w:tcPr>
          <w:p w:rsidR="00B40057" w:rsidRPr="00397F96" w:rsidRDefault="00B40057" w:rsidP="005D6CF9">
            <w:pPr>
              <w:spacing w:after="0" w:line="240" w:lineRule="auto"/>
              <w:rPr>
                <w:rFonts w:ascii="Arial" w:hAnsi="Arial" w:cs="Arial"/>
                <w:szCs w:val="24"/>
              </w:rPr>
            </w:pPr>
            <w:r w:rsidRPr="00397F96">
              <w:rPr>
                <w:rFonts w:ascii="Arial" w:hAnsi="Arial" w:cs="Arial"/>
                <w:szCs w:val="24"/>
              </w:rPr>
              <w:t xml:space="preserve">OAG has specifically requested that only Electoral Commissioner signed final version (According to </w:t>
            </w:r>
            <w:r w:rsidRPr="00397F96">
              <w:rPr>
                <w:rFonts w:ascii="Arial" w:hAnsi="Arial" w:cs="Arial"/>
                <w:i/>
                <w:szCs w:val="24"/>
              </w:rPr>
              <w:t>Financial Management Act 2006</w:t>
            </w:r>
            <w:r w:rsidRPr="00397F96">
              <w:rPr>
                <w:rFonts w:ascii="Arial" w:hAnsi="Arial" w:cs="Arial"/>
                <w:szCs w:val="24"/>
              </w:rPr>
              <w:t>, this is a sole Commissioner's responsibilities).</w:t>
            </w: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center"/>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00"/>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Cs w:val="24"/>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00"/>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Cs w:val="24"/>
              </w:rPr>
            </w:pPr>
            <w:r w:rsidRPr="00397F96">
              <w:rPr>
                <w:rFonts w:ascii="Arial" w:hAnsi="Arial" w:cs="Arial"/>
                <w:szCs w:val="24"/>
              </w:rPr>
              <w:t>Peter Shimmings</w:t>
            </w: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00"/>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Cs w:val="24"/>
              </w:rPr>
            </w:pPr>
            <w:r w:rsidRPr="00397F96">
              <w:rPr>
                <w:rFonts w:ascii="Arial" w:hAnsi="Arial" w:cs="Arial"/>
                <w:szCs w:val="24"/>
              </w:rPr>
              <w:t>Chief Finance Officer</w:t>
            </w: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5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8 September 2015</w:t>
            </w: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17"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bl>
    <w:p w:rsidR="00B40057" w:rsidRDefault="00B40057" w:rsidP="00B40057"/>
    <w:tbl>
      <w:tblPr>
        <w:tblW w:w="15348" w:type="dxa"/>
        <w:tblInd w:w="108" w:type="dxa"/>
        <w:tblLook w:val="04A0" w:firstRow="1" w:lastRow="0" w:firstColumn="1" w:lastColumn="0" w:noHBand="0" w:noVBand="1"/>
      </w:tblPr>
      <w:tblGrid>
        <w:gridCol w:w="6816"/>
        <w:gridCol w:w="1336"/>
        <w:gridCol w:w="1336"/>
        <w:gridCol w:w="1336"/>
        <w:gridCol w:w="1336"/>
        <w:gridCol w:w="1456"/>
        <w:gridCol w:w="1296"/>
        <w:gridCol w:w="121"/>
        <w:gridCol w:w="315"/>
      </w:tblGrid>
      <w:tr w:rsidR="00B40057" w:rsidRPr="00397F96" w:rsidTr="00B40057">
        <w:trPr>
          <w:gridAfter w:val="1"/>
          <w:wAfter w:w="315" w:type="dxa"/>
          <w:trHeight w:val="255"/>
        </w:trPr>
        <w:tc>
          <w:tcPr>
            <w:tcW w:w="15033" w:type="dxa"/>
            <w:gridSpan w:val="8"/>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b/>
                <w:bCs/>
                <w:color w:val="000000"/>
                <w:sz w:val="20"/>
              </w:rPr>
            </w:pPr>
            <w:r w:rsidRPr="00397F96">
              <w:rPr>
                <w:rFonts w:ascii="Arial" w:hAnsi="Arial" w:cs="Arial"/>
                <w:b/>
                <w:bCs/>
                <w:color w:val="000000"/>
                <w:sz w:val="20"/>
              </w:rPr>
              <w:t>Western Australian Electoral Commission - 30 June 2015</w:t>
            </w:r>
          </w:p>
        </w:tc>
      </w:tr>
      <w:tr w:rsidR="00B40057" w:rsidRPr="00397F96" w:rsidTr="00B40057">
        <w:trPr>
          <w:trHeight w:val="37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i/>
                <w:iCs/>
                <w:sz w:val="28"/>
                <w:szCs w:val="28"/>
              </w:rPr>
            </w:pPr>
            <w:r w:rsidRPr="00397F96">
              <w:rPr>
                <w:rFonts w:ascii="Arial" w:hAnsi="Arial" w:cs="Arial"/>
                <w:b/>
                <w:bCs/>
                <w:i/>
                <w:iCs/>
                <w:sz w:val="28"/>
                <w:szCs w:val="28"/>
              </w:rPr>
              <w:t>Key Performance Indicators</w:t>
            </w: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43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31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Cs w:val="24"/>
                <w:u w:val="single"/>
              </w:rPr>
            </w:pPr>
            <w:r w:rsidRPr="00397F96">
              <w:rPr>
                <w:rFonts w:ascii="Arial" w:hAnsi="Arial" w:cs="Arial"/>
                <w:b/>
                <w:bCs/>
                <w:szCs w:val="24"/>
                <w:u w:val="single"/>
              </w:rPr>
              <w:t>Government Goal</w:t>
            </w: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43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15348" w:type="dxa"/>
            <w:gridSpan w:val="9"/>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rPr>
            </w:pPr>
            <w:r w:rsidRPr="00397F96">
              <w:rPr>
                <w:rFonts w:ascii="Arial" w:hAnsi="Arial" w:cs="Arial"/>
              </w:rPr>
              <w:t>Result Based Service Delivery:</w:t>
            </w:r>
          </w:p>
        </w:tc>
      </w:tr>
      <w:tr w:rsidR="00B40057" w:rsidRPr="00397F96" w:rsidTr="00B40057">
        <w:trPr>
          <w:trHeight w:val="285"/>
        </w:trPr>
        <w:tc>
          <w:tcPr>
            <w:tcW w:w="15348" w:type="dxa"/>
            <w:gridSpan w:val="9"/>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rPr>
            </w:pPr>
            <w:r w:rsidRPr="00397F96">
              <w:rPr>
                <w:rFonts w:ascii="Arial" w:hAnsi="Arial" w:cs="Arial"/>
              </w:rPr>
              <w:t>Greater focus on achieving results in key service delivery areas for the benefit of all Western Australians.</w:t>
            </w:r>
          </w:p>
        </w:tc>
      </w:tr>
      <w:tr w:rsidR="00B40057" w:rsidRPr="00397F96" w:rsidTr="00B40057">
        <w:trPr>
          <w:trHeight w:val="31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Cs w:val="24"/>
                <w:u w:val="single"/>
              </w:rPr>
            </w:pPr>
            <w:r w:rsidRPr="00397F96">
              <w:rPr>
                <w:rFonts w:ascii="Arial" w:hAnsi="Arial" w:cs="Arial"/>
                <w:b/>
                <w:bCs/>
                <w:szCs w:val="24"/>
                <w:u w:val="single"/>
              </w:rPr>
              <w:t>Desired Outcome</w:t>
            </w: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43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15348" w:type="dxa"/>
            <w:gridSpan w:val="9"/>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rPr>
            </w:pPr>
            <w:r w:rsidRPr="00397F96">
              <w:rPr>
                <w:rFonts w:ascii="Arial" w:hAnsi="Arial" w:cs="Arial"/>
              </w:rPr>
              <w:t>Western Australian electors participate in independent and impartial elections or referenda conducted by the Commission as part of democratic processes.</w:t>
            </w:r>
          </w:p>
        </w:tc>
      </w:tr>
      <w:tr w:rsidR="00B40057" w:rsidRPr="00397F96" w:rsidTr="00B40057">
        <w:trPr>
          <w:trHeight w:val="315"/>
        </w:trPr>
        <w:tc>
          <w:tcPr>
            <w:tcW w:w="681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b/>
                <w:bCs/>
                <w:szCs w:val="24"/>
                <w:u w:val="single"/>
              </w:rPr>
            </w:pPr>
            <w:r w:rsidRPr="00397F96">
              <w:rPr>
                <w:rFonts w:ascii="Arial" w:hAnsi="Arial" w:cs="Arial"/>
                <w:b/>
                <w:bCs/>
                <w:szCs w:val="24"/>
                <w:u w:val="single"/>
              </w:rPr>
              <w:t>Service</w:t>
            </w: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33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45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c>
          <w:tcPr>
            <w:tcW w:w="436" w:type="dxa"/>
            <w:gridSpan w:val="2"/>
            <w:tcBorders>
              <w:top w:val="nil"/>
              <w:left w:val="nil"/>
              <w:bottom w:val="nil"/>
              <w:right w:val="nil"/>
            </w:tcBorders>
            <w:shd w:val="clear" w:color="auto" w:fill="auto"/>
            <w:noWrap/>
            <w:vAlign w:val="bottom"/>
            <w:hideMark/>
          </w:tcPr>
          <w:p w:rsidR="00B40057" w:rsidRPr="00397F96" w:rsidRDefault="00B40057" w:rsidP="005D6CF9">
            <w:pPr>
              <w:spacing w:after="0" w:line="240" w:lineRule="auto"/>
              <w:rPr>
                <w:rFonts w:ascii="Arial" w:hAnsi="Arial" w:cs="Arial"/>
                <w:sz w:val="20"/>
              </w:rPr>
            </w:pPr>
          </w:p>
        </w:tc>
      </w:tr>
      <w:tr w:rsidR="00B40057" w:rsidRPr="00397F96" w:rsidTr="00B40057">
        <w:trPr>
          <w:trHeight w:val="285"/>
        </w:trPr>
        <w:tc>
          <w:tcPr>
            <w:tcW w:w="15348" w:type="dxa"/>
            <w:gridSpan w:val="9"/>
            <w:tcBorders>
              <w:top w:val="nil"/>
              <w:left w:val="nil"/>
              <w:bottom w:val="nil"/>
              <w:right w:val="nil"/>
            </w:tcBorders>
            <w:shd w:val="clear" w:color="auto" w:fill="auto"/>
            <w:vAlign w:val="bottom"/>
            <w:hideMark/>
          </w:tcPr>
          <w:p w:rsidR="00B40057" w:rsidRPr="00397F96" w:rsidRDefault="00B40057" w:rsidP="005D6CF9">
            <w:pPr>
              <w:spacing w:after="0" w:line="240" w:lineRule="auto"/>
              <w:rPr>
                <w:rFonts w:ascii="Arial" w:hAnsi="Arial" w:cs="Arial"/>
              </w:rPr>
            </w:pPr>
            <w:r w:rsidRPr="00397F96">
              <w:rPr>
                <w:rFonts w:ascii="Arial" w:hAnsi="Arial" w:cs="Arial"/>
              </w:rPr>
              <w:t xml:space="preserve">Provision of independent, impartial and efficient electoral services to electors of Parliament and other electoral clients. </w:t>
            </w:r>
          </w:p>
        </w:tc>
      </w:tr>
      <w:tr w:rsidR="00B40057" w:rsidRPr="00397F96" w:rsidTr="00B40057">
        <w:trPr>
          <w:trHeight w:val="255"/>
        </w:trPr>
        <w:tc>
          <w:tcPr>
            <w:tcW w:w="6816" w:type="dxa"/>
            <w:vMerge w:val="restart"/>
            <w:tcBorders>
              <w:top w:val="single" w:sz="4" w:space="0" w:color="auto"/>
              <w:left w:val="single" w:sz="4" w:space="0" w:color="auto"/>
              <w:bottom w:val="nil"/>
              <w:right w:val="nil"/>
            </w:tcBorders>
            <w:shd w:val="clear" w:color="000000" w:fill="FFFFFF"/>
            <w:noWrap/>
            <w:vAlign w:val="center"/>
            <w:hideMark/>
          </w:tcPr>
          <w:p w:rsidR="00B40057" w:rsidRPr="00397F96" w:rsidRDefault="00B40057" w:rsidP="005D6CF9">
            <w:pPr>
              <w:spacing w:after="0" w:line="240" w:lineRule="auto"/>
              <w:jc w:val="center"/>
              <w:rPr>
                <w:rFonts w:ascii="Arial" w:hAnsi="Arial" w:cs="Arial"/>
                <w:b/>
                <w:bCs/>
                <w:szCs w:val="24"/>
              </w:rPr>
            </w:pPr>
            <w:r w:rsidRPr="00397F96">
              <w:rPr>
                <w:rFonts w:ascii="Arial" w:hAnsi="Arial" w:cs="Arial"/>
                <w:b/>
                <w:bCs/>
                <w:szCs w:val="24"/>
              </w:rPr>
              <w:t>Key Effectiveness Indicators</w:t>
            </w:r>
          </w:p>
        </w:tc>
        <w:tc>
          <w:tcPr>
            <w:tcW w:w="1336" w:type="dxa"/>
            <w:tcBorders>
              <w:top w:val="single" w:sz="4" w:space="0" w:color="auto"/>
              <w:left w:val="single" w:sz="4" w:space="0" w:color="auto"/>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2011-12</w:t>
            </w:r>
          </w:p>
        </w:tc>
        <w:tc>
          <w:tcPr>
            <w:tcW w:w="1336" w:type="dxa"/>
            <w:tcBorders>
              <w:top w:val="single" w:sz="4" w:space="0" w:color="auto"/>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2012-13</w:t>
            </w:r>
          </w:p>
        </w:tc>
        <w:tc>
          <w:tcPr>
            <w:tcW w:w="1336" w:type="dxa"/>
            <w:tcBorders>
              <w:top w:val="single" w:sz="4" w:space="0" w:color="auto"/>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2013-14</w:t>
            </w:r>
          </w:p>
        </w:tc>
        <w:tc>
          <w:tcPr>
            <w:tcW w:w="1336" w:type="dxa"/>
            <w:tcBorders>
              <w:top w:val="single" w:sz="4" w:space="0" w:color="auto"/>
              <w:left w:val="nil"/>
              <w:bottom w:val="nil"/>
              <w:right w:val="nil"/>
            </w:tcBorders>
            <w:shd w:val="clear" w:color="000000" w:fill="FFFFFF"/>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2014-15</w:t>
            </w:r>
          </w:p>
        </w:tc>
        <w:tc>
          <w:tcPr>
            <w:tcW w:w="1456" w:type="dxa"/>
            <w:tcBorders>
              <w:top w:val="single" w:sz="4" w:space="0" w:color="auto"/>
              <w:left w:val="single" w:sz="4" w:space="0" w:color="auto"/>
              <w:bottom w:val="nil"/>
              <w:right w:val="single" w:sz="4" w:space="0" w:color="auto"/>
            </w:tcBorders>
            <w:shd w:val="clear" w:color="000000" w:fill="FFFFFF"/>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2014-15</w:t>
            </w:r>
          </w:p>
        </w:tc>
        <w:tc>
          <w:tcPr>
            <w:tcW w:w="1296" w:type="dxa"/>
            <w:tcBorders>
              <w:top w:val="single" w:sz="4" w:space="0" w:color="auto"/>
              <w:left w:val="nil"/>
              <w:bottom w:val="nil"/>
              <w:right w:val="nil"/>
            </w:tcBorders>
            <w:shd w:val="clear" w:color="000000" w:fill="FFFFFF"/>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Variation</w:t>
            </w:r>
          </w:p>
        </w:tc>
        <w:tc>
          <w:tcPr>
            <w:tcW w:w="436" w:type="dxa"/>
            <w:gridSpan w:val="2"/>
            <w:tcBorders>
              <w:top w:val="single" w:sz="4" w:space="0" w:color="auto"/>
              <w:left w:val="nil"/>
              <w:bottom w:val="nil"/>
              <w:right w:val="single" w:sz="4" w:space="0" w:color="auto"/>
            </w:tcBorders>
            <w:shd w:val="clear" w:color="000000" w:fill="FFFFFF"/>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w:t>
            </w:r>
          </w:p>
        </w:tc>
      </w:tr>
      <w:tr w:rsidR="00B40057" w:rsidRPr="00397F96" w:rsidTr="00B40057">
        <w:trPr>
          <w:trHeight w:val="255"/>
        </w:trPr>
        <w:tc>
          <w:tcPr>
            <w:tcW w:w="6816" w:type="dxa"/>
            <w:vMerge/>
            <w:tcBorders>
              <w:top w:val="single" w:sz="4" w:space="0" w:color="auto"/>
              <w:left w:val="single" w:sz="4" w:space="0" w:color="auto"/>
              <w:bottom w:val="nil"/>
              <w:right w:val="nil"/>
            </w:tcBorders>
            <w:vAlign w:val="center"/>
            <w:hideMark/>
          </w:tcPr>
          <w:p w:rsidR="00B40057" w:rsidRPr="00397F96" w:rsidRDefault="00B40057" w:rsidP="005D6CF9">
            <w:pPr>
              <w:spacing w:after="0" w:line="240" w:lineRule="auto"/>
              <w:rPr>
                <w:rFonts w:ascii="Arial" w:hAnsi="Arial" w:cs="Arial"/>
                <w:b/>
                <w:bCs/>
                <w:szCs w:val="24"/>
              </w:rPr>
            </w:pPr>
          </w:p>
        </w:tc>
        <w:tc>
          <w:tcPr>
            <w:tcW w:w="1336" w:type="dxa"/>
            <w:tcBorders>
              <w:top w:val="nil"/>
              <w:left w:val="single" w:sz="4" w:space="0" w:color="auto"/>
              <w:bottom w:val="single" w:sz="4" w:space="0" w:color="auto"/>
              <w:right w:val="single" w:sz="4" w:space="0" w:color="auto"/>
            </w:tcBorders>
            <w:shd w:val="clear" w:color="000000" w:fill="FFFFFF"/>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Actual</w:t>
            </w:r>
          </w:p>
        </w:tc>
        <w:tc>
          <w:tcPr>
            <w:tcW w:w="1336" w:type="dxa"/>
            <w:tcBorders>
              <w:top w:val="nil"/>
              <w:left w:val="nil"/>
              <w:bottom w:val="single" w:sz="4" w:space="0" w:color="auto"/>
              <w:right w:val="single" w:sz="4" w:space="0" w:color="auto"/>
            </w:tcBorders>
            <w:shd w:val="clear" w:color="000000" w:fill="FFFFFF"/>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Actual</w:t>
            </w:r>
          </w:p>
        </w:tc>
        <w:tc>
          <w:tcPr>
            <w:tcW w:w="1336" w:type="dxa"/>
            <w:tcBorders>
              <w:top w:val="nil"/>
              <w:left w:val="nil"/>
              <w:bottom w:val="single" w:sz="4" w:space="0" w:color="auto"/>
              <w:right w:val="single" w:sz="4" w:space="0" w:color="auto"/>
            </w:tcBorders>
            <w:shd w:val="clear" w:color="000000" w:fill="FFFFFF"/>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Actual</w:t>
            </w:r>
          </w:p>
        </w:tc>
        <w:tc>
          <w:tcPr>
            <w:tcW w:w="1336" w:type="dxa"/>
            <w:tcBorders>
              <w:top w:val="nil"/>
              <w:left w:val="nil"/>
              <w:bottom w:val="single" w:sz="4" w:space="0" w:color="auto"/>
              <w:right w:val="single" w:sz="4" w:space="0" w:color="auto"/>
            </w:tcBorders>
            <w:shd w:val="clear" w:color="000000" w:fill="FFFFFF"/>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Actual</w:t>
            </w:r>
          </w:p>
        </w:tc>
        <w:tc>
          <w:tcPr>
            <w:tcW w:w="1456" w:type="dxa"/>
            <w:tcBorders>
              <w:top w:val="nil"/>
              <w:left w:val="nil"/>
              <w:bottom w:val="single" w:sz="4" w:space="0" w:color="auto"/>
              <w:right w:val="single" w:sz="4" w:space="0" w:color="auto"/>
            </w:tcBorders>
            <w:shd w:val="clear" w:color="000000" w:fill="FFFFFF"/>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Target</w:t>
            </w:r>
          </w:p>
        </w:tc>
        <w:tc>
          <w:tcPr>
            <w:tcW w:w="1296" w:type="dxa"/>
            <w:tcBorders>
              <w:top w:val="nil"/>
              <w:left w:val="nil"/>
              <w:bottom w:val="single" w:sz="4" w:space="0" w:color="auto"/>
              <w:right w:val="nil"/>
            </w:tcBorders>
            <w:shd w:val="clear" w:color="000000" w:fill="FFFFFF"/>
            <w:noWrap/>
            <w:vAlign w:val="bottom"/>
            <w:hideMark/>
          </w:tcPr>
          <w:p w:rsidR="00B40057" w:rsidRPr="00397F96" w:rsidRDefault="00B40057" w:rsidP="005D6CF9">
            <w:pPr>
              <w:spacing w:after="0" w:line="240" w:lineRule="auto"/>
              <w:jc w:val="right"/>
              <w:rPr>
                <w:rFonts w:ascii="Arial" w:hAnsi="Arial" w:cs="Arial"/>
                <w:b/>
                <w:bCs/>
                <w:sz w:val="20"/>
              </w:rPr>
            </w:pPr>
            <w:r w:rsidRPr="00397F96">
              <w:rPr>
                <w:rFonts w:ascii="Arial" w:hAnsi="Arial" w:cs="Arial"/>
                <w:b/>
                <w:bCs/>
                <w:sz w:val="20"/>
              </w:rPr>
              <w:t> </w:t>
            </w:r>
          </w:p>
        </w:tc>
        <w:tc>
          <w:tcPr>
            <w:tcW w:w="436" w:type="dxa"/>
            <w:gridSpan w:val="2"/>
            <w:tcBorders>
              <w:top w:val="nil"/>
              <w:left w:val="nil"/>
              <w:bottom w:val="single" w:sz="4" w:space="0" w:color="auto"/>
              <w:right w:val="single" w:sz="4" w:space="0" w:color="auto"/>
            </w:tcBorders>
            <w:shd w:val="clear" w:color="000000" w:fill="FFFFFF"/>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w:t>
            </w:r>
          </w:p>
        </w:tc>
      </w:tr>
      <w:tr w:rsidR="00B40057" w:rsidRPr="00397F96" w:rsidTr="00B40057">
        <w:trPr>
          <w:trHeight w:val="431"/>
        </w:trPr>
        <w:tc>
          <w:tcPr>
            <w:tcW w:w="6816" w:type="dxa"/>
            <w:tcBorders>
              <w:top w:val="single" w:sz="4" w:space="0" w:color="auto"/>
              <w:left w:val="single" w:sz="4" w:space="0" w:color="auto"/>
              <w:bottom w:val="nil"/>
              <w:right w:val="single" w:sz="4" w:space="0" w:color="auto"/>
            </w:tcBorders>
            <w:shd w:val="clear" w:color="auto" w:fill="auto"/>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The number of relevant breaches of "Declaration by Officer" (Form 1) upheld by a Court of Disputed Returns</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Nil</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Nil</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Nil</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Nil</w:t>
            </w:r>
          </w:p>
        </w:tc>
        <w:tc>
          <w:tcPr>
            <w:tcW w:w="145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Nil</w:t>
            </w: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Nil</w:t>
            </w:r>
          </w:p>
        </w:tc>
        <w:tc>
          <w:tcPr>
            <w:tcW w:w="436" w:type="dxa"/>
            <w:gridSpan w:val="2"/>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vertAlign w:val="superscript"/>
              </w:rPr>
              <w:t>(a)</w:t>
            </w:r>
          </w:p>
        </w:tc>
      </w:tr>
      <w:tr w:rsidR="00B40057" w:rsidRPr="00397F96" w:rsidTr="00B40057">
        <w:trPr>
          <w:trHeight w:val="165"/>
        </w:trPr>
        <w:tc>
          <w:tcPr>
            <w:tcW w:w="6816" w:type="dxa"/>
            <w:tcBorders>
              <w:top w:val="nil"/>
              <w:left w:val="single" w:sz="4" w:space="0" w:color="auto"/>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16"/>
                <w:szCs w:val="16"/>
              </w:rPr>
            </w:pPr>
            <w:r w:rsidRPr="00397F96">
              <w:rPr>
                <w:rFonts w:ascii="Arial" w:hAnsi="Arial" w:cs="Arial"/>
                <w:sz w:val="16"/>
                <w:szCs w:val="16"/>
              </w:rPr>
              <w:t> </w:t>
            </w:r>
          </w:p>
        </w:tc>
        <w:tc>
          <w:tcPr>
            <w:tcW w:w="1336" w:type="dxa"/>
            <w:tcBorders>
              <w:top w:val="nil"/>
              <w:left w:val="single" w:sz="4" w:space="0" w:color="auto"/>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45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436" w:type="dxa"/>
            <w:gridSpan w:val="2"/>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rPr>
                <w:rFonts w:ascii="Arial" w:hAnsi="Arial" w:cs="Arial"/>
                <w:sz w:val="16"/>
                <w:szCs w:val="16"/>
              </w:rPr>
            </w:pPr>
            <w:r w:rsidRPr="00397F96">
              <w:rPr>
                <w:rFonts w:ascii="Arial" w:hAnsi="Arial" w:cs="Arial"/>
                <w:sz w:val="16"/>
                <w:szCs w:val="16"/>
                <w:vertAlign w:val="superscript"/>
              </w:rPr>
              <w:t> </w:t>
            </w:r>
          </w:p>
        </w:tc>
      </w:tr>
      <w:tr w:rsidR="00B40057" w:rsidRPr="00397F96" w:rsidTr="00B40057">
        <w:trPr>
          <w:trHeight w:val="77"/>
        </w:trPr>
        <w:tc>
          <w:tcPr>
            <w:tcW w:w="6816" w:type="dxa"/>
            <w:tcBorders>
              <w:top w:val="nil"/>
              <w:left w:val="single" w:sz="4" w:space="0" w:color="auto"/>
              <w:bottom w:val="nil"/>
              <w:right w:val="single" w:sz="4" w:space="0" w:color="auto"/>
            </w:tcBorders>
            <w:shd w:val="clear" w:color="auto" w:fill="auto"/>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Percentage eligible electors on the State Electoral Roll</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86.01%</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89.20%</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88.40%</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87.49%</w:t>
            </w:r>
          </w:p>
        </w:tc>
        <w:tc>
          <w:tcPr>
            <w:tcW w:w="145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90.40%</w:t>
            </w: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-2.91%</w:t>
            </w:r>
          </w:p>
        </w:tc>
        <w:tc>
          <w:tcPr>
            <w:tcW w:w="436" w:type="dxa"/>
            <w:gridSpan w:val="2"/>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vertAlign w:val="superscript"/>
              </w:rPr>
              <w:t>(b)</w:t>
            </w:r>
          </w:p>
        </w:tc>
      </w:tr>
      <w:tr w:rsidR="00B40057" w:rsidRPr="00397F96" w:rsidTr="00B40057">
        <w:trPr>
          <w:trHeight w:val="165"/>
        </w:trPr>
        <w:tc>
          <w:tcPr>
            <w:tcW w:w="6816" w:type="dxa"/>
            <w:tcBorders>
              <w:top w:val="nil"/>
              <w:left w:val="single" w:sz="4" w:space="0" w:color="auto"/>
              <w:bottom w:val="nil"/>
              <w:right w:val="nil"/>
            </w:tcBorders>
            <w:shd w:val="clear" w:color="auto" w:fill="auto"/>
            <w:vAlign w:val="bottom"/>
            <w:hideMark/>
          </w:tcPr>
          <w:p w:rsidR="00B40057" w:rsidRPr="00397F96" w:rsidRDefault="00B40057" w:rsidP="005D6CF9">
            <w:pPr>
              <w:spacing w:after="0" w:line="240" w:lineRule="auto"/>
              <w:rPr>
                <w:rFonts w:ascii="Arial" w:hAnsi="Arial" w:cs="Arial"/>
                <w:sz w:val="16"/>
                <w:szCs w:val="16"/>
              </w:rPr>
            </w:pPr>
            <w:r w:rsidRPr="00397F96">
              <w:rPr>
                <w:rFonts w:ascii="Arial" w:hAnsi="Arial" w:cs="Arial"/>
                <w:sz w:val="16"/>
                <w:szCs w:val="16"/>
              </w:rPr>
              <w:t> </w:t>
            </w:r>
          </w:p>
        </w:tc>
        <w:tc>
          <w:tcPr>
            <w:tcW w:w="1336" w:type="dxa"/>
            <w:tcBorders>
              <w:top w:val="nil"/>
              <w:left w:val="single" w:sz="4" w:space="0" w:color="auto"/>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45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436" w:type="dxa"/>
            <w:gridSpan w:val="2"/>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rPr>
                <w:rFonts w:ascii="Arial" w:hAnsi="Arial" w:cs="Arial"/>
                <w:sz w:val="16"/>
                <w:szCs w:val="16"/>
              </w:rPr>
            </w:pPr>
            <w:r w:rsidRPr="00397F96">
              <w:rPr>
                <w:rFonts w:ascii="Arial" w:hAnsi="Arial" w:cs="Arial"/>
                <w:sz w:val="16"/>
                <w:szCs w:val="16"/>
                <w:vertAlign w:val="superscript"/>
              </w:rPr>
              <w:t> </w:t>
            </w:r>
          </w:p>
        </w:tc>
      </w:tr>
      <w:tr w:rsidR="00B40057" w:rsidRPr="00397F96" w:rsidTr="00B40057">
        <w:trPr>
          <w:trHeight w:val="229"/>
        </w:trPr>
        <w:tc>
          <w:tcPr>
            <w:tcW w:w="6816" w:type="dxa"/>
            <w:tcBorders>
              <w:top w:val="nil"/>
              <w:left w:val="single" w:sz="4" w:space="0" w:color="auto"/>
              <w:bottom w:val="nil"/>
              <w:right w:val="single" w:sz="4" w:space="0" w:color="auto"/>
            </w:tcBorders>
            <w:shd w:val="clear" w:color="auto" w:fill="auto"/>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Percentage of enrolled electors voting in State Elections (or by-elections) or referenda</w:t>
            </w:r>
          </w:p>
        </w:tc>
        <w:tc>
          <w:tcPr>
            <w:tcW w:w="1336" w:type="dxa"/>
            <w:tcBorders>
              <w:top w:val="nil"/>
              <w:left w:val="nil"/>
              <w:bottom w:val="nil"/>
              <w:right w:val="single" w:sz="4" w:space="0" w:color="auto"/>
            </w:tcBorders>
            <w:shd w:val="clear" w:color="auto" w:fill="auto"/>
            <w:noWrap/>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w:t>
            </w:r>
          </w:p>
        </w:tc>
        <w:tc>
          <w:tcPr>
            <w:tcW w:w="1336" w:type="dxa"/>
            <w:tcBorders>
              <w:top w:val="nil"/>
              <w:left w:val="nil"/>
              <w:bottom w:val="nil"/>
              <w:right w:val="single" w:sz="4" w:space="0" w:color="auto"/>
            </w:tcBorders>
            <w:shd w:val="clear" w:color="auto" w:fill="auto"/>
            <w:noWrap/>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w:t>
            </w:r>
          </w:p>
        </w:tc>
        <w:tc>
          <w:tcPr>
            <w:tcW w:w="1336" w:type="dxa"/>
            <w:tcBorders>
              <w:top w:val="nil"/>
              <w:left w:val="nil"/>
              <w:bottom w:val="nil"/>
              <w:right w:val="single" w:sz="4" w:space="0" w:color="auto"/>
            </w:tcBorders>
            <w:shd w:val="clear" w:color="auto" w:fill="auto"/>
            <w:noWrap/>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w:t>
            </w:r>
          </w:p>
        </w:tc>
        <w:tc>
          <w:tcPr>
            <w:tcW w:w="1336" w:type="dxa"/>
            <w:tcBorders>
              <w:top w:val="nil"/>
              <w:left w:val="nil"/>
              <w:bottom w:val="nil"/>
              <w:right w:val="single" w:sz="4" w:space="0" w:color="auto"/>
            </w:tcBorders>
            <w:shd w:val="clear" w:color="auto" w:fill="auto"/>
            <w:noWrap/>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w:t>
            </w:r>
          </w:p>
        </w:tc>
        <w:tc>
          <w:tcPr>
            <w:tcW w:w="1456" w:type="dxa"/>
            <w:tcBorders>
              <w:top w:val="nil"/>
              <w:left w:val="nil"/>
              <w:bottom w:val="nil"/>
              <w:right w:val="single" w:sz="4" w:space="0" w:color="auto"/>
            </w:tcBorders>
            <w:shd w:val="clear" w:color="auto" w:fill="auto"/>
            <w:noWrap/>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w:t>
            </w:r>
          </w:p>
        </w:tc>
        <w:tc>
          <w:tcPr>
            <w:tcW w:w="1296" w:type="dxa"/>
            <w:tcBorders>
              <w:top w:val="nil"/>
              <w:left w:val="nil"/>
              <w:bottom w:val="nil"/>
              <w:right w:val="nil"/>
            </w:tcBorders>
            <w:shd w:val="clear" w:color="auto" w:fill="auto"/>
            <w:noWrap/>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 </w:t>
            </w:r>
          </w:p>
        </w:tc>
        <w:tc>
          <w:tcPr>
            <w:tcW w:w="436" w:type="dxa"/>
            <w:gridSpan w:val="2"/>
            <w:tcBorders>
              <w:top w:val="nil"/>
              <w:left w:val="nil"/>
              <w:bottom w:val="nil"/>
              <w:right w:val="single" w:sz="4" w:space="0" w:color="auto"/>
            </w:tcBorders>
            <w:shd w:val="clear" w:color="auto" w:fill="auto"/>
            <w:noWrap/>
            <w:hideMark/>
          </w:tcPr>
          <w:p w:rsidR="00B40057" w:rsidRPr="00397F96" w:rsidRDefault="00B40057" w:rsidP="005D6CF9">
            <w:pPr>
              <w:spacing w:after="0" w:line="240" w:lineRule="auto"/>
              <w:rPr>
                <w:rFonts w:ascii="Arial" w:hAnsi="Arial" w:cs="Arial"/>
                <w:sz w:val="20"/>
              </w:rPr>
            </w:pPr>
            <w:r w:rsidRPr="00397F96">
              <w:rPr>
                <w:rFonts w:ascii="Arial" w:hAnsi="Arial" w:cs="Arial"/>
                <w:sz w:val="20"/>
                <w:vertAlign w:val="superscript"/>
              </w:rPr>
              <w:t> </w:t>
            </w:r>
          </w:p>
        </w:tc>
      </w:tr>
      <w:tr w:rsidR="00B40057" w:rsidRPr="00397F96" w:rsidTr="00B40057">
        <w:trPr>
          <w:trHeight w:val="285"/>
        </w:trPr>
        <w:tc>
          <w:tcPr>
            <w:tcW w:w="6816" w:type="dxa"/>
            <w:tcBorders>
              <w:top w:val="nil"/>
              <w:left w:val="single" w:sz="4" w:space="0" w:color="auto"/>
              <w:bottom w:val="nil"/>
              <w:right w:val="nil"/>
            </w:tcBorders>
            <w:shd w:val="clear" w:color="auto" w:fill="auto"/>
            <w:vAlign w:val="bottom"/>
            <w:hideMark/>
          </w:tcPr>
          <w:p w:rsidR="00B40057" w:rsidRPr="00397F96" w:rsidRDefault="00B40057" w:rsidP="005D6CF9">
            <w:pPr>
              <w:spacing w:after="0" w:line="240" w:lineRule="auto"/>
              <w:ind w:firstLineChars="200" w:firstLine="400"/>
              <w:rPr>
                <w:rFonts w:ascii="Arial" w:hAnsi="Arial" w:cs="Arial"/>
                <w:sz w:val="20"/>
              </w:rPr>
            </w:pPr>
            <w:r w:rsidRPr="00397F96">
              <w:rPr>
                <w:rFonts w:ascii="Arial" w:hAnsi="Arial" w:cs="Arial"/>
                <w:sz w:val="20"/>
              </w:rPr>
              <w:t>- State General Election</w:t>
            </w:r>
          </w:p>
        </w:tc>
        <w:tc>
          <w:tcPr>
            <w:tcW w:w="1336" w:type="dxa"/>
            <w:tcBorders>
              <w:top w:val="nil"/>
              <w:left w:val="single" w:sz="4" w:space="0" w:color="auto"/>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89.20%</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45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436" w:type="dxa"/>
            <w:gridSpan w:val="2"/>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vertAlign w:val="superscript"/>
              </w:rPr>
              <w:t xml:space="preserve">( c)   </w:t>
            </w:r>
          </w:p>
        </w:tc>
      </w:tr>
      <w:tr w:rsidR="00B40057" w:rsidRPr="00397F96" w:rsidTr="00B40057">
        <w:trPr>
          <w:trHeight w:val="285"/>
        </w:trPr>
        <w:tc>
          <w:tcPr>
            <w:tcW w:w="6816" w:type="dxa"/>
            <w:tcBorders>
              <w:top w:val="nil"/>
              <w:left w:val="single" w:sz="4" w:space="0" w:color="auto"/>
              <w:bottom w:val="nil"/>
              <w:right w:val="nil"/>
            </w:tcBorders>
            <w:shd w:val="clear" w:color="auto" w:fill="auto"/>
            <w:vAlign w:val="bottom"/>
            <w:hideMark/>
          </w:tcPr>
          <w:p w:rsidR="00B40057" w:rsidRPr="00397F96" w:rsidRDefault="00B40057" w:rsidP="005D6CF9">
            <w:pPr>
              <w:spacing w:after="0" w:line="240" w:lineRule="auto"/>
              <w:ind w:firstLineChars="200" w:firstLine="400"/>
              <w:rPr>
                <w:rFonts w:ascii="Arial" w:hAnsi="Arial" w:cs="Arial"/>
                <w:sz w:val="20"/>
              </w:rPr>
            </w:pPr>
            <w:r w:rsidRPr="00397F96">
              <w:rPr>
                <w:rFonts w:ascii="Arial" w:hAnsi="Arial" w:cs="Arial"/>
                <w:sz w:val="20"/>
              </w:rPr>
              <w:t>- By-election</w:t>
            </w:r>
          </w:p>
        </w:tc>
        <w:tc>
          <w:tcPr>
            <w:tcW w:w="1336" w:type="dxa"/>
            <w:tcBorders>
              <w:top w:val="nil"/>
              <w:left w:val="single" w:sz="4" w:space="0" w:color="auto"/>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82.58%</w:t>
            </w:r>
          </w:p>
        </w:tc>
        <w:tc>
          <w:tcPr>
            <w:tcW w:w="145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82.58%</w:t>
            </w:r>
          </w:p>
        </w:tc>
        <w:tc>
          <w:tcPr>
            <w:tcW w:w="436" w:type="dxa"/>
            <w:gridSpan w:val="2"/>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vertAlign w:val="superscript"/>
              </w:rPr>
              <w:t xml:space="preserve">( d)   </w:t>
            </w:r>
          </w:p>
        </w:tc>
      </w:tr>
      <w:tr w:rsidR="00B40057" w:rsidRPr="00397F96" w:rsidTr="00B40057">
        <w:trPr>
          <w:trHeight w:val="285"/>
        </w:trPr>
        <w:tc>
          <w:tcPr>
            <w:tcW w:w="6816" w:type="dxa"/>
            <w:tcBorders>
              <w:top w:val="nil"/>
              <w:left w:val="single" w:sz="4" w:space="0" w:color="auto"/>
              <w:bottom w:val="nil"/>
              <w:right w:val="nil"/>
            </w:tcBorders>
            <w:shd w:val="clear" w:color="auto" w:fill="auto"/>
            <w:vAlign w:val="bottom"/>
            <w:hideMark/>
          </w:tcPr>
          <w:p w:rsidR="00B40057" w:rsidRPr="00397F96" w:rsidRDefault="00B40057" w:rsidP="005D6CF9">
            <w:pPr>
              <w:spacing w:after="0" w:line="240" w:lineRule="auto"/>
              <w:ind w:firstLineChars="200" w:firstLine="400"/>
              <w:rPr>
                <w:rFonts w:ascii="Arial" w:hAnsi="Arial" w:cs="Arial"/>
                <w:sz w:val="20"/>
              </w:rPr>
            </w:pPr>
            <w:r w:rsidRPr="00397F96">
              <w:rPr>
                <w:rFonts w:ascii="Arial" w:hAnsi="Arial" w:cs="Arial"/>
                <w:sz w:val="20"/>
              </w:rPr>
              <w:t>- Referenda</w:t>
            </w:r>
          </w:p>
        </w:tc>
        <w:tc>
          <w:tcPr>
            <w:tcW w:w="1336" w:type="dxa"/>
            <w:tcBorders>
              <w:top w:val="nil"/>
              <w:left w:val="single" w:sz="4" w:space="0" w:color="auto"/>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45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436" w:type="dxa"/>
            <w:gridSpan w:val="2"/>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vertAlign w:val="superscript"/>
              </w:rPr>
              <w:t xml:space="preserve">( c)   </w:t>
            </w:r>
          </w:p>
        </w:tc>
      </w:tr>
      <w:tr w:rsidR="00B40057" w:rsidRPr="00397F96" w:rsidTr="00B40057">
        <w:trPr>
          <w:trHeight w:val="165"/>
        </w:trPr>
        <w:tc>
          <w:tcPr>
            <w:tcW w:w="6816" w:type="dxa"/>
            <w:tcBorders>
              <w:top w:val="nil"/>
              <w:left w:val="single" w:sz="4" w:space="0" w:color="auto"/>
              <w:bottom w:val="nil"/>
              <w:right w:val="nil"/>
            </w:tcBorders>
            <w:shd w:val="clear" w:color="auto" w:fill="auto"/>
            <w:vAlign w:val="bottom"/>
            <w:hideMark/>
          </w:tcPr>
          <w:p w:rsidR="00B40057" w:rsidRPr="00397F96" w:rsidRDefault="00B40057" w:rsidP="005D6CF9">
            <w:pPr>
              <w:spacing w:after="0" w:line="240" w:lineRule="auto"/>
              <w:ind w:firstLineChars="200" w:firstLine="320"/>
              <w:rPr>
                <w:rFonts w:ascii="Arial" w:hAnsi="Arial" w:cs="Arial"/>
                <w:sz w:val="16"/>
                <w:szCs w:val="16"/>
              </w:rPr>
            </w:pPr>
            <w:r w:rsidRPr="00397F96">
              <w:rPr>
                <w:rFonts w:ascii="Arial" w:hAnsi="Arial" w:cs="Arial"/>
                <w:sz w:val="16"/>
                <w:szCs w:val="16"/>
              </w:rPr>
              <w:t> </w:t>
            </w:r>
          </w:p>
        </w:tc>
        <w:tc>
          <w:tcPr>
            <w:tcW w:w="1336" w:type="dxa"/>
            <w:tcBorders>
              <w:top w:val="nil"/>
              <w:left w:val="single" w:sz="4" w:space="0" w:color="auto"/>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33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456" w:type="dxa"/>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1296" w:type="dxa"/>
            <w:tcBorders>
              <w:top w:val="nil"/>
              <w:left w:val="nil"/>
              <w:bottom w:val="nil"/>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16"/>
                <w:szCs w:val="16"/>
              </w:rPr>
            </w:pPr>
            <w:r w:rsidRPr="00397F96">
              <w:rPr>
                <w:rFonts w:ascii="Arial" w:hAnsi="Arial" w:cs="Arial"/>
                <w:sz w:val="16"/>
                <w:szCs w:val="16"/>
              </w:rPr>
              <w:t> </w:t>
            </w:r>
          </w:p>
        </w:tc>
        <w:tc>
          <w:tcPr>
            <w:tcW w:w="436" w:type="dxa"/>
            <w:gridSpan w:val="2"/>
            <w:tcBorders>
              <w:top w:val="nil"/>
              <w:left w:val="nil"/>
              <w:bottom w:val="nil"/>
              <w:right w:val="single" w:sz="4" w:space="0" w:color="auto"/>
            </w:tcBorders>
            <w:shd w:val="clear" w:color="auto" w:fill="auto"/>
            <w:noWrap/>
            <w:vAlign w:val="bottom"/>
            <w:hideMark/>
          </w:tcPr>
          <w:p w:rsidR="00B40057" w:rsidRPr="00397F96" w:rsidRDefault="00B40057" w:rsidP="005D6CF9">
            <w:pPr>
              <w:spacing w:after="0" w:line="240" w:lineRule="auto"/>
              <w:rPr>
                <w:rFonts w:ascii="Arial" w:hAnsi="Arial" w:cs="Arial"/>
                <w:sz w:val="16"/>
                <w:szCs w:val="16"/>
              </w:rPr>
            </w:pPr>
            <w:r w:rsidRPr="00397F96">
              <w:rPr>
                <w:rFonts w:ascii="Arial" w:hAnsi="Arial" w:cs="Arial"/>
                <w:sz w:val="16"/>
                <w:szCs w:val="16"/>
                <w:vertAlign w:val="superscript"/>
              </w:rPr>
              <w:t> </w:t>
            </w:r>
          </w:p>
        </w:tc>
      </w:tr>
      <w:tr w:rsidR="00B40057" w:rsidRPr="00397F96" w:rsidTr="00B40057">
        <w:trPr>
          <w:trHeight w:val="280"/>
        </w:trPr>
        <w:tc>
          <w:tcPr>
            <w:tcW w:w="6816" w:type="dxa"/>
            <w:tcBorders>
              <w:top w:val="nil"/>
              <w:left w:val="single" w:sz="4" w:space="0" w:color="auto"/>
              <w:bottom w:val="single" w:sz="4" w:space="0" w:color="auto"/>
              <w:right w:val="single" w:sz="4" w:space="0" w:color="auto"/>
            </w:tcBorders>
            <w:shd w:val="clear" w:color="auto" w:fill="auto"/>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Average percentage of enrolled electors voting in local government ordinary postal election or referenda conducted by the Commission</w:t>
            </w:r>
          </w:p>
        </w:tc>
        <w:tc>
          <w:tcPr>
            <w:tcW w:w="1336" w:type="dxa"/>
            <w:tcBorders>
              <w:top w:val="nil"/>
              <w:left w:val="nil"/>
              <w:bottom w:val="single" w:sz="4" w:space="0" w:color="auto"/>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30.94%</w:t>
            </w:r>
          </w:p>
        </w:tc>
        <w:tc>
          <w:tcPr>
            <w:tcW w:w="1336" w:type="dxa"/>
            <w:tcBorders>
              <w:top w:val="nil"/>
              <w:left w:val="nil"/>
              <w:bottom w:val="single" w:sz="4" w:space="0" w:color="auto"/>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n/a</w:t>
            </w:r>
          </w:p>
        </w:tc>
        <w:tc>
          <w:tcPr>
            <w:tcW w:w="1336" w:type="dxa"/>
            <w:tcBorders>
              <w:top w:val="nil"/>
              <w:left w:val="nil"/>
              <w:bottom w:val="single" w:sz="4" w:space="0" w:color="auto"/>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27.80%</w:t>
            </w:r>
          </w:p>
        </w:tc>
        <w:tc>
          <w:tcPr>
            <w:tcW w:w="1336" w:type="dxa"/>
            <w:tcBorders>
              <w:top w:val="nil"/>
              <w:left w:val="nil"/>
              <w:bottom w:val="single" w:sz="4" w:space="0" w:color="auto"/>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43.70%</w:t>
            </w:r>
          </w:p>
        </w:tc>
        <w:tc>
          <w:tcPr>
            <w:tcW w:w="1456" w:type="dxa"/>
            <w:tcBorders>
              <w:top w:val="nil"/>
              <w:left w:val="nil"/>
              <w:bottom w:val="single" w:sz="4" w:space="0" w:color="auto"/>
              <w:right w:val="single" w:sz="4" w:space="0" w:color="auto"/>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28%</w:t>
            </w:r>
          </w:p>
        </w:tc>
        <w:tc>
          <w:tcPr>
            <w:tcW w:w="1296" w:type="dxa"/>
            <w:tcBorders>
              <w:top w:val="nil"/>
              <w:left w:val="nil"/>
              <w:bottom w:val="single" w:sz="4" w:space="0" w:color="auto"/>
              <w:right w:val="nil"/>
            </w:tcBorders>
            <w:shd w:val="clear" w:color="auto" w:fill="auto"/>
            <w:noWrap/>
            <w:vAlign w:val="bottom"/>
            <w:hideMark/>
          </w:tcPr>
          <w:p w:rsidR="00B40057" w:rsidRPr="00397F96" w:rsidRDefault="00B40057" w:rsidP="005D6CF9">
            <w:pPr>
              <w:spacing w:after="0" w:line="240" w:lineRule="auto"/>
              <w:jc w:val="right"/>
              <w:rPr>
                <w:rFonts w:ascii="Arial" w:hAnsi="Arial" w:cs="Arial"/>
                <w:sz w:val="20"/>
              </w:rPr>
            </w:pPr>
            <w:r w:rsidRPr="00397F96">
              <w:rPr>
                <w:rFonts w:ascii="Arial" w:hAnsi="Arial" w:cs="Arial"/>
                <w:sz w:val="20"/>
              </w:rPr>
              <w:t>15.70%</w:t>
            </w:r>
          </w:p>
        </w:tc>
        <w:tc>
          <w:tcPr>
            <w:tcW w:w="436" w:type="dxa"/>
            <w:gridSpan w:val="2"/>
            <w:tcBorders>
              <w:top w:val="nil"/>
              <w:left w:val="nil"/>
              <w:bottom w:val="single" w:sz="4" w:space="0" w:color="auto"/>
              <w:right w:val="single" w:sz="4" w:space="0" w:color="auto"/>
            </w:tcBorders>
            <w:shd w:val="clear" w:color="auto" w:fill="auto"/>
            <w:noWrap/>
            <w:vAlign w:val="bottom"/>
            <w:hideMark/>
          </w:tcPr>
          <w:p w:rsidR="00B40057" w:rsidRPr="00397F96" w:rsidRDefault="00B40057" w:rsidP="005D6CF9">
            <w:pPr>
              <w:spacing w:after="0" w:line="240" w:lineRule="auto"/>
              <w:rPr>
                <w:rFonts w:ascii="Arial" w:hAnsi="Arial" w:cs="Arial"/>
                <w:sz w:val="20"/>
              </w:rPr>
            </w:pPr>
            <w:r w:rsidRPr="00397F96">
              <w:rPr>
                <w:rFonts w:ascii="Arial" w:hAnsi="Arial" w:cs="Arial"/>
                <w:sz w:val="20"/>
                <w:vertAlign w:val="superscript"/>
              </w:rPr>
              <w:t>(e)</w:t>
            </w:r>
          </w:p>
        </w:tc>
      </w:tr>
      <w:tr w:rsidR="00B40057" w:rsidRPr="00397F96" w:rsidTr="00B40057">
        <w:trPr>
          <w:trHeight w:val="510"/>
        </w:trPr>
        <w:tc>
          <w:tcPr>
            <w:tcW w:w="15348" w:type="dxa"/>
            <w:gridSpan w:val="9"/>
            <w:tcBorders>
              <w:top w:val="nil"/>
              <w:left w:val="nil"/>
              <w:bottom w:val="nil"/>
              <w:right w:val="nil"/>
            </w:tcBorders>
            <w:shd w:val="clear" w:color="auto" w:fill="auto"/>
            <w:hideMark/>
          </w:tcPr>
          <w:p w:rsidR="00B40057" w:rsidRPr="00397F96" w:rsidRDefault="00B40057" w:rsidP="003451BD">
            <w:pPr>
              <w:spacing w:before="120" w:after="0" w:line="240" w:lineRule="auto"/>
              <w:rPr>
                <w:rFonts w:ascii="Arial" w:hAnsi="Arial" w:cs="Arial"/>
                <w:sz w:val="20"/>
              </w:rPr>
            </w:pPr>
            <w:r w:rsidRPr="00397F96">
              <w:rPr>
                <w:rFonts w:ascii="Arial" w:hAnsi="Arial" w:cs="Arial"/>
                <w:sz w:val="20"/>
              </w:rPr>
              <w:t>(a) The number of relevant breaches of "Declaration by Officer" form is an indicator which reflects the Commission's objective of conducting impartial and independent elections.</w:t>
            </w:r>
          </w:p>
        </w:tc>
      </w:tr>
      <w:tr w:rsidR="00B40057" w:rsidRPr="00397F96" w:rsidTr="00B40057">
        <w:trPr>
          <w:trHeight w:val="765"/>
        </w:trPr>
        <w:tc>
          <w:tcPr>
            <w:tcW w:w="15348" w:type="dxa"/>
            <w:gridSpan w:val="9"/>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(b) The percentage of eligible electors on the State electoral roll is an indicator that provides a link to the Commission's objective of enabling electors to participate in the electoral process. The estimated eligible population is provided by the Australian Electoral Commission by utilising Australian Bureau of Statistics census data as it becomes available while the State Electoral data is provided by the WA Electoral Commission based on the total number of electors enrolled as at 30 June 2015.</w:t>
            </w:r>
          </w:p>
        </w:tc>
      </w:tr>
      <w:tr w:rsidR="00B40057" w:rsidRPr="00397F96" w:rsidTr="00B40057">
        <w:trPr>
          <w:trHeight w:val="345"/>
        </w:trPr>
        <w:tc>
          <w:tcPr>
            <w:tcW w:w="15348" w:type="dxa"/>
            <w:gridSpan w:val="9"/>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(c) There were no State General Election or Referenda conducted in the 2014-15 Financial Year.</w:t>
            </w:r>
          </w:p>
        </w:tc>
      </w:tr>
      <w:tr w:rsidR="00B40057" w:rsidRPr="00397F96" w:rsidTr="00B40057">
        <w:trPr>
          <w:trHeight w:val="600"/>
        </w:trPr>
        <w:tc>
          <w:tcPr>
            <w:tcW w:w="15348" w:type="dxa"/>
            <w:gridSpan w:val="9"/>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t>(d) The percentage indicates the number of enrolled electors that voted in the by-election of Vasse to fill the vacated position between the State General Elections. The indicator reflects the Commission's effectiveness in enabling electors to participate in the electoral process.</w:t>
            </w:r>
          </w:p>
        </w:tc>
      </w:tr>
      <w:tr w:rsidR="00B40057" w:rsidRPr="00397F96" w:rsidTr="00B40057">
        <w:trPr>
          <w:trHeight w:val="540"/>
        </w:trPr>
        <w:tc>
          <w:tcPr>
            <w:tcW w:w="15348" w:type="dxa"/>
            <w:gridSpan w:val="9"/>
            <w:tcBorders>
              <w:top w:val="nil"/>
              <w:left w:val="nil"/>
              <w:bottom w:val="nil"/>
              <w:right w:val="nil"/>
            </w:tcBorders>
            <w:shd w:val="clear" w:color="auto" w:fill="auto"/>
            <w:hideMark/>
          </w:tcPr>
          <w:p w:rsidR="00B40057" w:rsidRPr="00397F96" w:rsidRDefault="00B40057" w:rsidP="005D6CF9">
            <w:pPr>
              <w:spacing w:after="0" w:line="240" w:lineRule="auto"/>
              <w:rPr>
                <w:rFonts w:ascii="Arial" w:hAnsi="Arial" w:cs="Arial"/>
                <w:sz w:val="20"/>
              </w:rPr>
            </w:pPr>
            <w:r w:rsidRPr="00397F96">
              <w:rPr>
                <w:rFonts w:ascii="Arial" w:hAnsi="Arial" w:cs="Arial"/>
                <w:sz w:val="20"/>
              </w:rPr>
              <w:lastRenderedPageBreak/>
              <w:t>(e) The rates provide a key indicator of the commission's effectiveness in enabling electors to participate in the local government electoral process. The reported year's participation is higher than previous year due to referenda elections conducted for the proposed amalga</w:t>
            </w:r>
            <w:r w:rsidR="003451BD">
              <w:rPr>
                <w:rFonts w:ascii="Arial" w:hAnsi="Arial" w:cs="Arial"/>
                <w:sz w:val="20"/>
              </w:rPr>
              <w:t>ma</w:t>
            </w:r>
            <w:r w:rsidRPr="00397F96">
              <w:rPr>
                <w:rFonts w:ascii="Arial" w:hAnsi="Arial" w:cs="Arial"/>
                <w:sz w:val="20"/>
              </w:rPr>
              <w:t>tion of local councils.</w:t>
            </w:r>
          </w:p>
        </w:tc>
      </w:tr>
    </w:tbl>
    <w:p w:rsidR="00B40057" w:rsidRDefault="00B40057" w:rsidP="00B40057"/>
    <w:tbl>
      <w:tblPr>
        <w:tblW w:w="15220" w:type="dxa"/>
        <w:tblInd w:w="103" w:type="dxa"/>
        <w:tblLook w:val="04A0" w:firstRow="1" w:lastRow="0" w:firstColumn="1" w:lastColumn="0" w:noHBand="0" w:noVBand="1"/>
      </w:tblPr>
      <w:tblGrid>
        <w:gridCol w:w="6800"/>
        <w:gridCol w:w="1320"/>
        <w:gridCol w:w="1320"/>
        <w:gridCol w:w="1320"/>
        <w:gridCol w:w="1320"/>
        <w:gridCol w:w="1440"/>
        <w:gridCol w:w="1280"/>
        <w:gridCol w:w="420"/>
      </w:tblGrid>
      <w:tr w:rsidR="00B40057" w:rsidRPr="00EC32C3" w:rsidTr="00B40057">
        <w:trPr>
          <w:trHeight w:val="285"/>
        </w:trPr>
        <w:tc>
          <w:tcPr>
            <w:tcW w:w="6800" w:type="dxa"/>
            <w:vMerge w:val="restart"/>
            <w:tcBorders>
              <w:top w:val="single" w:sz="4" w:space="0" w:color="auto"/>
              <w:left w:val="single" w:sz="4" w:space="0" w:color="auto"/>
              <w:bottom w:val="nil"/>
              <w:right w:val="nil"/>
            </w:tcBorders>
            <w:shd w:val="clear" w:color="000000" w:fill="FFFFFF"/>
            <w:noWrap/>
            <w:vAlign w:val="center"/>
            <w:hideMark/>
          </w:tcPr>
          <w:p w:rsidR="00B40057" w:rsidRPr="00EC32C3" w:rsidRDefault="00B40057" w:rsidP="005D6CF9">
            <w:pPr>
              <w:spacing w:after="0" w:line="240" w:lineRule="auto"/>
              <w:jc w:val="center"/>
              <w:rPr>
                <w:rFonts w:ascii="Arial" w:hAnsi="Arial" w:cs="Arial"/>
                <w:b/>
                <w:bCs/>
                <w:szCs w:val="24"/>
              </w:rPr>
            </w:pPr>
            <w:r w:rsidRPr="00EC32C3">
              <w:rPr>
                <w:rFonts w:ascii="Arial" w:hAnsi="Arial" w:cs="Arial"/>
                <w:b/>
                <w:bCs/>
                <w:szCs w:val="24"/>
              </w:rPr>
              <w:t>Key Efficiency Indicators</w:t>
            </w:r>
          </w:p>
        </w:tc>
        <w:tc>
          <w:tcPr>
            <w:tcW w:w="1320" w:type="dxa"/>
            <w:tcBorders>
              <w:top w:val="single" w:sz="4" w:space="0" w:color="auto"/>
              <w:left w:val="single" w:sz="4" w:space="0" w:color="auto"/>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2011-12</w:t>
            </w:r>
          </w:p>
        </w:tc>
        <w:tc>
          <w:tcPr>
            <w:tcW w:w="1320" w:type="dxa"/>
            <w:tcBorders>
              <w:top w:val="single" w:sz="4" w:space="0" w:color="auto"/>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2012-13</w:t>
            </w:r>
          </w:p>
        </w:tc>
        <w:tc>
          <w:tcPr>
            <w:tcW w:w="1320" w:type="dxa"/>
            <w:tcBorders>
              <w:top w:val="single" w:sz="4" w:space="0" w:color="auto"/>
              <w:left w:val="nil"/>
              <w:bottom w:val="nil"/>
              <w:right w:val="nil"/>
            </w:tcBorders>
            <w:shd w:val="clear" w:color="000000" w:fill="FFFFFF"/>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2013-14</w:t>
            </w:r>
          </w:p>
        </w:tc>
        <w:tc>
          <w:tcPr>
            <w:tcW w:w="1320" w:type="dxa"/>
            <w:tcBorders>
              <w:top w:val="single" w:sz="4" w:space="0" w:color="auto"/>
              <w:left w:val="single" w:sz="4" w:space="0" w:color="auto"/>
              <w:bottom w:val="nil"/>
              <w:right w:val="single" w:sz="4" w:space="0" w:color="auto"/>
            </w:tcBorders>
            <w:shd w:val="clear" w:color="000000" w:fill="FFFFFF"/>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2014-15</w:t>
            </w:r>
          </w:p>
        </w:tc>
        <w:tc>
          <w:tcPr>
            <w:tcW w:w="1440" w:type="dxa"/>
            <w:tcBorders>
              <w:top w:val="single" w:sz="4" w:space="0" w:color="auto"/>
              <w:left w:val="nil"/>
              <w:bottom w:val="nil"/>
              <w:right w:val="single" w:sz="4" w:space="0" w:color="auto"/>
            </w:tcBorders>
            <w:shd w:val="clear" w:color="000000" w:fill="FFFFFF"/>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2014-15</w:t>
            </w:r>
          </w:p>
        </w:tc>
        <w:tc>
          <w:tcPr>
            <w:tcW w:w="1280" w:type="dxa"/>
            <w:tcBorders>
              <w:top w:val="single" w:sz="4" w:space="0" w:color="auto"/>
              <w:left w:val="nil"/>
              <w:bottom w:val="nil"/>
              <w:right w:val="nil"/>
            </w:tcBorders>
            <w:shd w:val="clear" w:color="000000" w:fill="FFFFFF"/>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Variation</w:t>
            </w:r>
          </w:p>
        </w:tc>
        <w:tc>
          <w:tcPr>
            <w:tcW w:w="420" w:type="dxa"/>
            <w:tcBorders>
              <w:top w:val="single" w:sz="4" w:space="0" w:color="auto"/>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vertAlign w:val="superscript"/>
              </w:rPr>
              <w:t> </w:t>
            </w:r>
          </w:p>
        </w:tc>
      </w:tr>
      <w:tr w:rsidR="00B40057" w:rsidRPr="00EC32C3" w:rsidTr="00B40057">
        <w:trPr>
          <w:trHeight w:val="285"/>
        </w:trPr>
        <w:tc>
          <w:tcPr>
            <w:tcW w:w="6800" w:type="dxa"/>
            <w:vMerge/>
            <w:tcBorders>
              <w:top w:val="single" w:sz="4" w:space="0" w:color="auto"/>
              <w:left w:val="single" w:sz="4" w:space="0" w:color="auto"/>
              <w:bottom w:val="nil"/>
              <w:right w:val="nil"/>
            </w:tcBorders>
            <w:vAlign w:val="center"/>
            <w:hideMark/>
          </w:tcPr>
          <w:p w:rsidR="00B40057" w:rsidRPr="00EC32C3" w:rsidRDefault="00B40057" w:rsidP="005D6CF9">
            <w:pPr>
              <w:spacing w:after="0" w:line="240" w:lineRule="auto"/>
              <w:rPr>
                <w:rFonts w:ascii="Arial" w:hAnsi="Arial" w:cs="Arial"/>
                <w:b/>
                <w:bCs/>
                <w:szCs w:val="24"/>
              </w:rPr>
            </w:pPr>
          </w:p>
        </w:tc>
        <w:tc>
          <w:tcPr>
            <w:tcW w:w="1320" w:type="dxa"/>
            <w:tcBorders>
              <w:top w:val="nil"/>
              <w:left w:val="single" w:sz="4" w:space="0" w:color="auto"/>
              <w:bottom w:val="single" w:sz="4" w:space="0" w:color="auto"/>
              <w:right w:val="single" w:sz="4" w:space="0" w:color="auto"/>
            </w:tcBorders>
            <w:shd w:val="clear" w:color="000000" w:fill="FFFFFF"/>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Actual</w:t>
            </w:r>
          </w:p>
        </w:tc>
        <w:tc>
          <w:tcPr>
            <w:tcW w:w="1320" w:type="dxa"/>
            <w:tcBorders>
              <w:top w:val="nil"/>
              <w:left w:val="nil"/>
              <w:bottom w:val="single" w:sz="4" w:space="0" w:color="auto"/>
              <w:right w:val="single" w:sz="4" w:space="0" w:color="auto"/>
            </w:tcBorders>
            <w:shd w:val="clear" w:color="000000" w:fill="FFFFFF"/>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Actual</w:t>
            </w:r>
          </w:p>
        </w:tc>
        <w:tc>
          <w:tcPr>
            <w:tcW w:w="1320" w:type="dxa"/>
            <w:tcBorders>
              <w:top w:val="nil"/>
              <w:left w:val="nil"/>
              <w:bottom w:val="single" w:sz="4" w:space="0" w:color="auto"/>
              <w:right w:val="nil"/>
            </w:tcBorders>
            <w:shd w:val="clear" w:color="000000" w:fill="FFFFFF"/>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Actual</w:t>
            </w:r>
          </w:p>
        </w:tc>
        <w:tc>
          <w:tcPr>
            <w:tcW w:w="1320" w:type="dxa"/>
            <w:tcBorders>
              <w:top w:val="nil"/>
              <w:left w:val="single" w:sz="4" w:space="0" w:color="auto"/>
              <w:bottom w:val="single" w:sz="4" w:space="0" w:color="auto"/>
              <w:right w:val="nil"/>
            </w:tcBorders>
            <w:shd w:val="clear" w:color="000000" w:fill="FFFFFF"/>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Actual</w:t>
            </w:r>
          </w:p>
        </w:tc>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Target</w:t>
            </w:r>
          </w:p>
        </w:tc>
        <w:tc>
          <w:tcPr>
            <w:tcW w:w="1280" w:type="dxa"/>
            <w:tcBorders>
              <w:top w:val="nil"/>
              <w:left w:val="nil"/>
              <w:bottom w:val="single" w:sz="4" w:space="0" w:color="auto"/>
              <w:right w:val="nil"/>
            </w:tcBorders>
            <w:shd w:val="clear" w:color="000000" w:fill="FFFFFF"/>
            <w:noWrap/>
            <w:vAlign w:val="bottom"/>
            <w:hideMark/>
          </w:tcPr>
          <w:p w:rsidR="00B40057" w:rsidRPr="00EC32C3" w:rsidRDefault="00B40057" w:rsidP="005D6CF9">
            <w:pPr>
              <w:spacing w:after="0" w:line="240" w:lineRule="auto"/>
              <w:jc w:val="right"/>
              <w:rPr>
                <w:rFonts w:ascii="Arial" w:hAnsi="Arial" w:cs="Arial"/>
                <w:b/>
                <w:bCs/>
                <w:sz w:val="20"/>
              </w:rPr>
            </w:pPr>
            <w:r w:rsidRPr="00EC32C3">
              <w:rPr>
                <w:rFonts w:ascii="Arial" w:hAnsi="Arial" w:cs="Arial"/>
                <w:b/>
                <w:bCs/>
                <w:sz w:val="20"/>
              </w:rPr>
              <w:t> </w:t>
            </w:r>
          </w:p>
        </w:tc>
        <w:tc>
          <w:tcPr>
            <w:tcW w:w="420" w:type="dxa"/>
            <w:tcBorders>
              <w:top w:val="nil"/>
              <w:left w:val="nil"/>
              <w:bottom w:val="single" w:sz="4" w:space="0" w:color="auto"/>
              <w:right w:val="single" w:sz="4" w:space="0" w:color="auto"/>
            </w:tcBorders>
            <w:shd w:val="clear" w:color="000000" w:fill="FFFFFF"/>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vertAlign w:val="superscript"/>
              </w:rPr>
              <w:t> </w:t>
            </w:r>
          </w:p>
        </w:tc>
      </w:tr>
      <w:tr w:rsidR="00B40057" w:rsidRPr="00EC32C3" w:rsidTr="00B40057">
        <w:trPr>
          <w:trHeight w:val="630"/>
        </w:trPr>
        <w:tc>
          <w:tcPr>
            <w:tcW w:w="6800" w:type="dxa"/>
            <w:tcBorders>
              <w:top w:val="single" w:sz="4" w:space="0" w:color="auto"/>
              <w:left w:val="single" w:sz="4" w:space="0" w:color="auto"/>
              <w:bottom w:val="nil"/>
              <w:right w:val="single" w:sz="4" w:space="0" w:color="auto"/>
            </w:tcBorders>
            <w:shd w:val="clear" w:color="auto" w:fill="auto"/>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Average Cost per Elector of Providing Electoral Services (Enrolment and Election Management)</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$5.59</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$5.74</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$4.81</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$5.23</w:t>
            </w:r>
          </w:p>
        </w:tc>
        <w:tc>
          <w:tcPr>
            <w:tcW w:w="144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$4.86</w:t>
            </w:r>
          </w:p>
        </w:tc>
        <w:tc>
          <w:tcPr>
            <w:tcW w:w="128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$0.37</w:t>
            </w:r>
          </w:p>
        </w:tc>
        <w:tc>
          <w:tcPr>
            <w:tcW w:w="4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vertAlign w:val="superscript"/>
              </w:rPr>
              <w:t>(a)</w:t>
            </w:r>
          </w:p>
        </w:tc>
      </w:tr>
      <w:tr w:rsidR="00B40057" w:rsidRPr="00EC32C3" w:rsidTr="00B40057">
        <w:trPr>
          <w:trHeight w:val="150"/>
        </w:trPr>
        <w:tc>
          <w:tcPr>
            <w:tcW w:w="6800" w:type="dxa"/>
            <w:tcBorders>
              <w:top w:val="nil"/>
              <w:left w:val="single" w:sz="4" w:space="0" w:color="auto"/>
              <w:bottom w:val="nil"/>
              <w:right w:val="nil"/>
            </w:tcBorders>
            <w:shd w:val="clear" w:color="auto" w:fill="auto"/>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 </w:t>
            </w:r>
          </w:p>
        </w:tc>
        <w:tc>
          <w:tcPr>
            <w:tcW w:w="1320" w:type="dxa"/>
            <w:tcBorders>
              <w:top w:val="nil"/>
              <w:left w:val="single" w:sz="4" w:space="0" w:color="auto"/>
              <w:bottom w:val="nil"/>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 </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 </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44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28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4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vertAlign w:val="superscript"/>
              </w:rPr>
              <w:t> </w:t>
            </w:r>
          </w:p>
        </w:tc>
      </w:tr>
      <w:tr w:rsidR="00B40057" w:rsidRPr="00EC32C3" w:rsidTr="00B40057">
        <w:trPr>
          <w:trHeight w:val="585"/>
        </w:trPr>
        <w:tc>
          <w:tcPr>
            <w:tcW w:w="6800" w:type="dxa"/>
            <w:tcBorders>
              <w:top w:val="nil"/>
              <w:left w:val="single" w:sz="4" w:space="0" w:color="auto"/>
              <w:bottom w:val="nil"/>
              <w:right w:val="single" w:sz="4" w:space="0" w:color="auto"/>
            </w:tcBorders>
            <w:shd w:val="clear" w:color="auto" w:fill="auto"/>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Average Cost per Elector of Conducting State General Elections (or By-elections) or Referenda Events</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44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28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4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vertAlign w:val="superscript"/>
              </w:rPr>
              <w:t> </w:t>
            </w:r>
          </w:p>
        </w:tc>
      </w:tr>
      <w:tr w:rsidR="00B40057" w:rsidRPr="00EC32C3" w:rsidTr="00B40057">
        <w:trPr>
          <w:trHeight w:val="285"/>
        </w:trPr>
        <w:tc>
          <w:tcPr>
            <w:tcW w:w="6800" w:type="dxa"/>
            <w:tcBorders>
              <w:top w:val="nil"/>
              <w:left w:val="single" w:sz="4" w:space="0" w:color="auto"/>
              <w:bottom w:val="nil"/>
              <w:right w:val="nil"/>
            </w:tcBorders>
            <w:shd w:val="clear" w:color="auto" w:fill="auto"/>
            <w:vAlign w:val="bottom"/>
            <w:hideMark/>
          </w:tcPr>
          <w:p w:rsidR="00B40057" w:rsidRPr="00EC32C3" w:rsidRDefault="00B40057" w:rsidP="005D6CF9">
            <w:pPr>
              <w:spacing w:after="0" w:line="240" w:lineRule="auto"/>
              <w:ind w:firstLineChars="200" w:firstLine="400"/>
              <w:rPr>
                <w:rFonts w:ascii="Arial" w:hAnsi="Arial" w:cs="Arial"/>
                <w:sz w:val="20"/>
              </w:rPr>
            </w:pPr>
            <w:r w:rsidRPr="00EC32C3">
              <w:rPr>
                <w:rFonts w:ascii="Arial" w:hAnsi="Arial" w:cs="Arial"/>
                <w:sz w:val="20"/>
              </w:rPr>
              <w:t>- State Election</w:t>
            </w:r>
          </w:p>
        </w:tc>
        <w:tc>
          <w:tcPr>
            <w:tcW w:w="1320" w:type="dxa"/>
            <w:tcBorders>
              <w:top w:val="nil"/>
              <w:left w:val="single" w:sz="4" w:space="0" w:color="auto"/>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$0.10</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$11.90</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$0.67</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44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28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4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vertAlign w:val="superscript"/>
              </w:rPr>
              <w:t>(b)</w:t>
            </w:r>
          </w:p>
        </w:tc>
      </w:tr>
      <w:tr w:rsidR="00B40057" w:rsidRPr="00EC32C3" w:rsidTr="00B40057">
        <w:trPr>
          <w:trHeight w:val="285"/>
        </w:trPr>
        <w:tc>
          <w:tcPr>
            <w:tcW w:w="6800" w:type="dxa"/>
            <w:tcBorders>
              <w:top w:val="nil"/>
              <w:left w:val="single" w:sz="4" w:space="0" w:color="auto"/>
              <w:bottom w:val="nil"/>
              <w:right w:val="nil"/>
            </w:tcBorders>
            <w:shd w:val="clear" w:color="auto" w:fill="auto"/>
            <w:vAlign w:val="bottom"/>
            <w:hideMark/>
          </w:tcPr>
          <w:p w:rsidR="00B40057" w:rsidRPr="00EC32C3" w:rsidRDefault="00B40057" w:rsidP="005D6CF9">
            <w:pPr>
              <w:spacing w:after="0" w:line="240" w:lineRule="auto"/>
              <w:ind w:firstLineChars="200" w:firstLine="400"/>
              <w:rPr>
                <w:rFonts w:ascii="Arial" w:hAnsi="Arial" w:cs="Arial"/>
                <w:sz w:val="20"/>
              </w:rPr>
            </w:pPr>
            <w:r w:rsidRPr="00EC32C3">
              <w:rPr>
                <w:rFonts w:ascii="Arial" w:hAnsi="Arial" w:cs="Arial"/>
                <w:sz w:val="20"/>
              </w:rPr>
              <w:t>- By-election</w:t>
            </w:r>
          </w:p>
        </w:tc>
        <w:tc>
          <w:tcPr>
            <w:tcW w:w="1320" w:type="dxa"/>
            <w:tcBorders>
              <w:top w:val="nil"/>
              <w:left w:val="single" w:sz="4" w:space="0" w:color="auto"/>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$13.23</w:t>
            </w:r>
          </w:p>
        </w:tc>
        <w:tc>
          <w:tcPr>
            <w:tcW w:w="144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28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13.23</w:t>
            </w:r>
          </w:p>
        </w:tc>
        <w:tc>
          <w:tcPr>
            <w:tcW w:w="4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vertAlign w:val="superscript"/>
              </w:rPr>
              <w:t>(c)</w:t>
            </w:r>
          </w:p>
        </w:tc>
      </w:tr>
      <w:tr w:rsidR="00B40057" w:rsidRPr="00EC32C3" w:rsidTr="00B40057">
        <w:trPr>
          <w:trHeight w:val="285"/>
        </w:trPr>
        <w:tc>
          <w:tcPr>
            <w:tcW w:w="6800" w:type="dxa"/>
            <w:tcBorders>
              <w:top w:val="nil"/>
              <w:left w:val="single" w:sz="4" w:space="0" w:color="auto"/>
              <w:bottom w:val="nil"/>
              <w:right w:val="nil"/>
            </w:tcBorders>
            <w:shd w:val="clear" w:color="auto" w:fill="auto"/>
            <w:vAlign w:val="bottom"/>
            <w:hideMark/>
          </w:tcPr>
          <w:p w:rsidR="00B40057" w:rsidRPr="00EC32C3" w:rsidRDefault="00B40057" w:rsidP="005D6CF9">
            <w:pPr>
              <w:spacing w:after="0" w:line="240" w:lineRule="auto"/>
              <w:ind w:firstLineChars="200" w:firstLine="400"/>
              <w:rPr>
                <w:rFonts w:ascii="Arial" w:hAnsi="Arial" w:cs="Arial"/>
                <w:sz w:val="20"/>
              </w:rPr>
            </w:pPr>
            <w:r w:rsidRPr="00EC32C3">
              <w:rPr>
                <w:rFonts w:ascii="Arial" w:hAnsi="Arial" w:cs="Arial"/>
                <w:sz w:val="20"/>
              </w:rPr>
              <w:t>- 'Referenda</w:t>
            </w:r>
          </w:p>
        </w:tc>
        <w:tc>
          <w:tcPr>
            <w:tcW w:w="1320" w:type="dxa"/>
            <w:tcBorders>
              <w:top w:val="nil"/>
              <w:left w:val="single" w:sz="4" w:space="0" w:color="auto"/>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44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28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4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vertAlign w:val="superscript"/>
              </w:rPr>
              <w:t>(b)</w:t>
            </w:r>
          </w:p>
        </w:tc>
      </w:tr>
      <w:tr w:rsidR="00B40057" w:rsidRPr="00EC32C3" w:rsidTr="00B40057">
        <w:trPr>
          <w:trHeight w:val="150"/>
        </w:trPr>
        <w:tc>
          <w:tcPr>
            <w:tcW w:w="6800" w:type="dxa"/>
            <w:tcBorders>
              <w:top w:val="nil"/>
              <w:left w:val="single" w:sz="4" w:space="0" w:color="auto"/>
              <w:bottom w:val="nil"/>
              <w:right w:val="nil"/>
            </w:tcBorders>
            <w:shd w:val="clear" w:color="auto" w:fill="auto"/>
            <w:vAlign w:val="bottom"/>
            <w:hideMark/>
          </w:tcPr>
          <w:p w:rsidR="00B40057" w:rsidRPr="00EC32C3" w:rsidRDefault="00B40057" w:rsidP="005D6CF9">
            <w:pPr>
              <w:spacing w:after="0" w:line="240" w:lineRule="auto"/>
              <w:ind w:firstLineChars="200" w:firstLine="400"/>
              <w:rPr>
                <w:rFonts w:ascii="Arial" w:hAnsi="Arial" w:cs="Arial"/>
                <w:sz w:val="20"/>
              </w:rPr>
            </w:pPr>
            <w:r w:rsidRPr="00EC32C3">
              <w:rPr>
                <w:rFonts w:ascii="Arial" w:hAnsi="Arial" w:cs="Arial"/>
                <w:sz w:val="20"/>
              </w:rPr>
              <w:t> </w:t>
            </w:r>
          </w:p>
        </w:tc>
        <w:tc>
          <w:tcPr>
            <w:tcW w:w="1320" w:type="dxa"/>
            <w:tcBorders>
              <w:top w:val="nil"/>
              <w:left w:val="single" w:sz="4" w:space="0" w:color="auto"/>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3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44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28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42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vertAlign w:val="superscript"/>
              </w:rPr>
              <w:t> </w:t>
            </w:r>
          </w:p>
        </w:tc>
      </w:tr>
      <w:tr w:rsidR="00B40057" w:rsidRPr="00EC32C3" w:rsidTr="00B40057">
        <w:trPr>
          <w:trHeight w:val="570"/>
        </w:trPr>
        <w:tc>
          <w:tcPr>
            <w:tcW w:w="6800" w:type="dxa"/>
            <w:tcBorders>
              <w:top w:val="nil"/>
              <w:left w:val="single" w:sz="4" w:space="0" w:color="auto"/>
              <w:bottom w:val="single" w:sz="4" w:space="0" w:color="auto"/>
              <w:right w:val="single" w:sz="4" w:space="0" w:color="auto"/>
            </w:tcBorders>
            <w:shd w:val="clear" w:color="auto" w:fill="auto"/>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Average Cost per Elector of Conducting Local Government Ordinary (or/and Extraordinary) Elections Conducted by the Commission</w:t>
            </w:r>
          </w:p>
        </w:tc>
        <w:tc>
          <w:tcPr>
            <w:tcW w:w="1320" w:type="dxa"/>
            <w:tcBorders>
              <w:top w:val="nil"/>
              <w:left w:val="nil"/>
              <w:bottom w:val="single" w:sz="4" w:space="0" w:color="auto"/>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$1.82</w:t>
            </w:r>
          </w:p>
        </w:tc>
        <w:tc>
          <w:tcPr>
            <w:tcW w:w="1320" w:type="dxa"/>
            <w:tcBorders>
              <w:top w:val="nil"/>
              <w:left w:val="nil"/>
              <w:bottom w:val="single" w:sz="4" w:space="0" w:color="auto"/>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$1.56</w:t>
            </w:r>
          </w:p>
        </w:tc>
        <w:tc>
          <w:tcPr>
            <w:tcW w:w="1320" w:type="dxa"/>
            <w:tcBorders>
              <w:top w:val="nil"/>
              <w:left w:val="nil"/>
              <w:bottom w:val="single" w:sz="4" w:space="0" w:color="auto"/>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$2.63</w:t>
            </w:r>
          </w:p>
        </w:tc>
        <w:tc>
          <w:tcPr>
            <w:tcW w:w="1320" w:type="dxa"/>
            <w:tcBorders>
              <w:top w:val="nil"/>
              <w:left w:val="nil"/>
              <w:bottom w:val="single" w:sz="4" w:space="0" w:color="auto"/>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$1.89</w:t>
            </w:r>
          </w:p>
        </w:tc>
        <w:tc>
          <w:tcPr>
            <w:tcW w:w="1440" w:type="dxa"/>
            <w:tcBorders>
              <w:top w:val="nil"/>
              <w:left w:val="nil"/>
              <w:bottom w:val="nil"/>
              <w:right w:val="single" w:sz="4" w:space="0" w:color="auto"/>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n/a</w:t>
            </w:r>
          </w:p>
        </w:tc>
        <w:tc>
          <w:tcPr>
            <w:tcW w:w="1280" w:type="dxa"/>
            <w:tcBorders>
              <w:top w:val="nil"/>
              <w:left w:val="nil"/>
              <w:bottom w:val="single" w:sz="4" w:space="0" w:color="auto"/>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$1.89</w:t>
            </w:r>
          </w:p>
        </w:tc>
        <w:tc>
          <w:tcPr>
            <w:tcW w:w="420" w:type="dxa"/>
            <w:tcBorders>
              <w:top w:val="nil"/>
              <w:left w:val="nil"/>
              <w:bottom w:val="single" w:sz="4" w:space="0" w:color="auto"/>
              <w:right w:val="single" w:sz="4" w:space="0" w:color="auto"/>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vertAlign w:val="superscript"/>
              </w:rPr>
              <w:t xml:space="preserve">(d) </w:t>
            </w:r>
          </w:p>
        </w:tc>
      </w:tr>
      <w:tr w:rsidR="00B40057" w:rsidRPr="00EC32C3" w:rsidTr="00B40057">
        <w:trPr>
          <w:trHeight w:val="255"/>
        </w:trPr>
        <w:tc>
          <w:tcPr>
            <w:tcW w:w="6800" w:type="dxa"/>
            <w:tcBorders>
              <w:top w:val="nil"/>
              <w:left w:val="nil"/>
              <w:bottom w:val="nil"/>
              <w:right w:val="nil"/>
            </w:tcBorders>
            <w:shd w:val="clear" w:color="auto" w:fill="auto"/>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 </w:t>
            </w:r>
          </w:p>
        </w:tc>
        <w:tc>
          <w:tcPr>
            <w:tcW w:w="132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32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32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32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jc w:val="right"/>
              <w:rPr>
                <w:rFonts w:ascii="Arial" w:hAnsi="Arial" w:cs="Arial"/>
                <w:sz w:val="20"/>
              </w:rPr>
            </w:pPr>
            <w:r w:rsidRPr="00EC32C3">
              <w:rPr>
                <w:rFonts w:ascii="Arial" w:hAnsi="Arial" w:cs="Arial"/>
                <w:sz w:val="20"/>
              </w:rPr>
              <w:t> </w:t>
            </w:r>
          </w:p>
        </w:tc>
        <w:tc>
          <w:tcPr>
            <w:tcW w:w="1440" w:type="dxa"/>
            <w:tcBorders>
              <w:top w:val="single" w:sz="4" w:space="0" w:color="auto"/>
              <w:left w:val="nil"/>
              <w:bottom w:val="nil"/>
              <w:right w:val="nil"/>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 </w:t>
            </w:r>
          </w:p>
        </w:tc>
        <w:tc>
          <w:tcPr>
            <w:tcW w:w="128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 </w:t>
            </w:r>
          </w:p>
        </w:tc>
        <w:tc>
          <w:tcPr>
            <w:tcW w:w="420" w:type="dxa"/>
            <w:tcBorders>
              <w:top w:val="nil"/>
              <w:left w:val="nil"/>
              <w:bottom w:val="nil"/>
              <w:right w:val="nil"/>
            </w:tcBorders>
            <w:shd w:val="clear" w:color="auto" w:fill="auto"/>
            <w:noWrap/>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 </w:t>
            </w:r>
          </w:p>
        </w:tc>
      </w:tr>
      <w:tr w:rsidR="00B40057" w:rsidRPr="00EC32C3" w:rsidTr="00B40057">
        <w:trPr>
          <w:trHeight w:val="855"/>
        </w:trPr>
        <w:tc>
          <w:tcPr>
            <w:tcW w:w="15220" w:type="dxa"/>
            <w:gridSpan w:val="8"/>
            <w:tcBorders>
              <w:top w:val="nil"/>
              <w:left w:val="nil"/>
              <w:bottom w:val="nil"/>
              <w:right w:val="nil"/>
            </w:tcBorders>
            <w:shd w:val="clear" w:color="auto" w:fill="auto"/>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(a) The indicator provides a direct link to the budget estimates which reflects on the fixed cost of maintaining readiness for a state election and providing for any local government elections or other extra-ordinary elections. The higher cost as compared to the target and prior year figures were the result of the state government by-election.</w:t>
            </w:r>
          </w:p>
        </w:tc>
      </w:tr>
      <w:tr w:rsidR="00B40057" w:rsidRPr="00EC32C3" w:rsidTr="00B40057">
        <w:trPr>
          <w:trHeight w:val="270"/>
        </w:trPr>
        <w:tc>
          <w:tcPr>
            <w:tcW w:w="15220" w:type="dxa"/>
            <w:gridSpan w:val="8"/>
            <w:tcBorders>
              <w:top w:val="nil"/>
              <w:left w:val="nil"/>
              <w:bottom w:val="nil"/>
              <w:right w:val="nil"/>
            </w:tcBorders>
            <w:shd w:val="clear" w:color="auto" w:fill="auto"/>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(b) There were no State General Election or Referenda conducted in the 2014-15 Financial Year.</w:t>
            </w:r>
          </w:p>
        </w:tc>
      </w:tr>
      <w:tr w:rsidR="00B40057" w:rsidRPr="00EC32C3" w:rsidTr="00B40057">
        <w:trPr>
          <w:trHeight w:val="555"/>
        </w:trPr>
        <w:tc>
          <w:tcPr>
            <w:tcW w:w="15220" w:type="dxa"/>
            <w:gridSpan w:val="8"/>
            <w:tcBorders>
              <w:top w:val="nil"/>
              <w:left w:val="nil"/>
              <w:bottom w:val="nil"/>
              <w:right w:val="nil"/>
            </w:tcBorders>
            <w:shd w:val="clear" w:color="auto" w:fill="auto"/>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 xml:space="preserve">(c) The indicator reflects actual expenditure incurred while conducting the State Government by-election of Vasse. The higher cost as compared to a State General Election is the result of not achieving economies of scale by having to establish </w:t>
            </w:r>
            <w:proofErr w:type="gramStart"/>
            <w:r w:rsidRPr="00EC32C3">
              <w:rPr>
                <w:rFonts w:ascii="Arial" w:hAnsi="Arial" w:cs="Arial"/>
                <w:sz w:val="20"/>
              </w:rPr>
              <w:t>a comprehensive election arrangements</w:t>
            </w:r>
            <w:proofErr w:type="gramEnd"/>
            <w:r w:rsidRPr="00EC32C3">
              <w:rPr>
                <w:rFonts w:ascii="Arial" w:hAnsi="Arial" w:cs="Arial"/>
                <w:sz w:val="20"/>
              </w:rPr>
              <w:t xml:space="preserve"> for only 24,739 electors.</w:t>
            </w:r>
          </w:p>
        </w:tc>
      </w:tr>
      <w:tr w:rsidR="00B40057" w:rsidRPr="00EC32C3" w:rsidTr="00B40057">
        <w:trPr>
          <w:trHeight w:val="540"/>
        </w:trPr>
        <w:tc>
          <w:tcPr>
            <w:tcW w:w="15220" w:type="dxa"/>
            <w:gridSpan w:val="8"/>
            <w:tcBorders>
              <w:top w:val="nil"/>
              <w:left w:val="nil"/>
              <w:bottom w:val="nil"/>
              <w:right w:val="nil"/>
            </w:tcBorders>
            <w:shd w:val="clear" w:color="auto" w:fill="auto"/>
            <w:vAlign w:val="bottom"/>
            <w:hideMark/>
          </w:tcPr>
          <w:p w:rsidR="00B40057" w:rsidRPr="00EC32C3" w:rsidRDefault="00B40057" w:rsidP="005D6CF9">
            <w:pPr>
              <w:spacing w:after="0" w:line="240" w:lineRule="auto"/>
              <w:rPr>
                <w:rFonts w:ascii="Arial" w:hAnsi="Arial" w:cs="Arial"/>
                <w:sz w:val="20"/>
              </w:rPr>
            </w:pPr>
            <w:r w:rsidRPr="00EC32C3">
              <w:rPr>
                <w:rFonts w:ascii="Arial" w:hAnsi="Arial" w:cs="Arial"/>
                <w:sz w:val="20"/>
              </w:rPr>
              <w:t>(d) The indicator reflects the actual expenditure incurred while conducting Local Government extra-ordinary election and Referenda election. In comparison with the prior year ordinary election, the lower cost was the result of lower overheads and postal expenditure.</w:t>
            </w:r>
          </w:p>
        </w:tc>
      </w:tr>
    </w:tbl>
    <w:p w:rsidR="00B40057" w:rsidRDefault="00B40057" w:rsidP="00B40057"/>
    <w:p w:rsidR="0009212F" w:rsidRPr="0009212F" w:rsidRDefault="0009212F" w:rsidP="007D38A8">
      <w:pPr>
        <w:pStyle w:val="BodyCopy"/>
        <w:tabs>
          <w:tab w:val="left" w:pos="709"/>
        </w:tabs>
        <w:spacing w:before="40" w:after="40" w:line="160" w:lineRule="atLeast"/>
        <w:rPr>
          <w:color w:val="404040" w:themeColor="text1" w:themeTint="BF"/>
          <w:sz w:val="18"/>
          <w:szCs w:val="18"/>
          <w:lang w:val="en-AU"/>
        </w:rPr>
      </w:pPr>
    </w:p>
    <w:sectPr w:rsidR="0009212F" w:rsidRPr="0009212F" w:rsidSect="005D6CF9">
      <w:pgSz w:w="16840" w:h="11900" w:orient="landscape" w:code="9"/>
      <w:pgMar w:top="1134" w:right="737" w:bottom="1134" w:left="567" w:header="720" w:footer="720" w:gutter="0"/>
      <w:cols w:space="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F1" w:rsidRDefault="00952AF1" w:rsidP="00E96B50">
      <w:pPr>
        <w:spacing w:after="0" w:line="240" w:lineRule="auto"/>
      </w:pPr>
      <w:r>
        <w:separator/>
      </w:r>
    </w:p>
  </w:endnote>
  <w:endnote w:type="continuationSeparator" w:id="0">
    <w:p w:rsidR="00952AF1" w:rsidRDefault="00952AF1" w:rsidP="00E9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688998"/>
      <w:docPartObj>
        <w:docPartGallery w:val="Page Numbers (Bottom of Page)"/>
        <w:docPartUnique/>
      </w:docPartObj>
    </w:sdtPr>
    <w:sdtEndPr>
      <w:rPr>
        <w:rFonts w:ascii="Arial" w:hAnsi="Arial" w:cs="Arial"/>
        <w:noProof/>
        <w:sz w:val="18"/>
        <w:szCs w:val="18"/>
      </w:rPr>
    </w:sdtEndPr>
    <w:sdtContent>
      <w:p w:rsidR="00952AF1" w:rsidRPr="00E96B50" w:rsidRDefault="00952AF1" w:rsidP="00775899">
        <w:pPr>
          <w:pStyle w:val="Footer"/>
          <w:tabs>
            <w:tab w:val="clear" w:pos="9026"/>
            <w:tab w:val="right" w:pos="10206"/>
          </w:tabs>
          <w:spacing w:before="120"/>
          <w:rPr>
            <w:sz w:val="20"/>
          </w:rPr>
        </w:pPr>
        <w:r w:rsidRPr="00525425">
          <w:rPr>
            <w:rFonts w:ascii="Arial" w:hAnsi="Arial" w:cs="Arial"/>
            <w:sz w:val="18"/>
            <w:szCs w:val="18"/>
          </w:rPr>
          <w:t>Western Australian Electoral Commission</w:t>
        </w:r>
        <w:r>
          <w:t xml:space="preserve"> – </w:t>
        </w:r>
        <w:r>
          <w:rPr>
            <w:rFonts w:ascii="Arial" w:hAnsi="Arial" w:cs="Arial"/>
            <w:sz w:val="18"/>
            <w:szCs w:val="18"/>
          </w:rPr>
          <w:t>ANNUAL REPORT 2014-15</w:t>
        </w:r>
        <w:r>
          <w:rPr>
            <w:rFonts w:ascii="Arial" w:hAnsi="Arial" w:cs="Arial"/>
            <w:sz w:val="18"/>
            <w:szCs w:val="18"/>
          </w:rPr>
          <w:tab/>
        </w:r>
        <w:r w:rsidRPr="00E96B50">
          <w:rPr>
            <w:rFonts w:ascii="Arial" w:hAnsi="Arial" w:cs="Arial"/>
            <w:sz w:val="18"/>
            <w:szCs w:val="18"/>
          </w:rPr>
          <w:fldChar w:fldCharType="begin"/>
        </w:r>
        <w:r w:rsidRPr="00E96B50">
          <w:rPr>
            <w:rFonts w:ascii="Arial" w:hAnsi="Arial" w:cs="Arial"/>
            <w:sz w:val="18"/>
            <w:szCs w:val="18"/>
          </w:rPr>
          <w:instrText xml:space="preserve"> PAGE   \* MERGEFORMAT </w:instrText>
        </w:r>
        <w:r w:rsidRPr="00E96B50">
          <w:rPr>
            <w:rFonts w:ascii="Arial" w:hAnsi="Arial" w:cs="Arial"/>
            <w:sz w:val="18"/>
            <w:szCs w:val="18"/>
          </w:rPr>
          <w:fldChar w:fldCharType="separate"/>
        </w:r>
        <w:r w:rsidR="001D6958">
          <w:rPr>
            <w:rFonts w:ascii="Arial" w:hAnsi="Arial" w:cs="Arial"/>
            <w:noProof/>
            <w:sz w:val="18"/>
            <w:szCs w:val="18"/>
          </w:rPr>
          <w:t>3</w:t>
        </w:r>
        <w:r w:rsidRPr="00E96B50">
          <w:rPr>
            <w:rFonts w:ascii="Arial" w:hAnsi="Arial" w:cs="Arial"/>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074469"/>
      <w:docPartObj>
        <w:docPartGallery w:val="Page Numbers (Bottom of Page)"/>
        <w:docPartUnique/>
      </w:docPartObj>
    </w:sdtPr>
    <w:sdtEndPr>
      <w:rPr>
        <w:rFonts w:ascii="Arial" w:hAnsi="Arial" w:cs="Arial"/>
        <w:noProof/>
        <w:sz w:val="18"/>
        <w:szCs w:val="18"/>
      </w:rPr>
    </w:sdtEndPr>
    <w:sdtContent>
      <w:p w:rsidR="00952AF1" w:rsidRPr="00525425" w:rsidRDefault="00952AF1" w:rsidP="0009212F">
        <w:pPr>
          <w:pStyle w:val="Footer"/>
          <w:tabs>
            <w:tab w:val="clear" w:pos="9026"/>
            <w:tab w:val="left" w:pos="10348"/>
          </w:tabs>
          <w:rPr>
            <w:rFonts w:ascii="Arial" w:hAnsi="Arial" w:cs="Arial"/>
            <w:sz w:val="18"/>
            <w:szCs w:val="18"/>
          </w:rPr>
        </w:pPr>
        <w:r w:rsidRPr="00525425">
          <w:rPr>
            <w:rFonts w:ascii="Arial" w:hAnsi="Arial" w:cs="Arial"/>
            <w:sz w:val="18"/>
            <w:szCs w:val="18"/>
          </w:rPr>
          <w:t>Western Australian Electoral Commission</w:t>
        </w:r>
        <w:r>
          <w:t xml:space="preserve"> – </w:t>
        </w:r>
        <w:r w:rsidRPr="00525425">
          <w:rPr>
            <w:rFonts w:ascii="Arial" w:hAnsi="Arial" w:cs="Arial"/>
            <w:sz w:val="18"/>
            <w:szCs w:val="18"/>
          </w:rPr>
          <w:t>ANNUAL REPORT 2014-15</w:t>
        </w:r>
        <w:r>
          <w:rPr>
            <w:rFonts w:ascii="Arial" w:hAnsi="Arial" w:cs="Arial"/>
            <w:sz w:val="18"/>
            <w:szCs w:val="18"/>
          </w:rPr>
          <w:tab/>
        </w:r>
        <w:r w:rsidRPr="00525425">
          <w:rPr>
            <w:rFonts w:ascii="Arial" w:hAnsi="Arial" w:cs="Arial"/>
            <w:sz w:val="18"/>
            <w:szCs w:val="18"/>
          </w:rPr>
          <w:fldChar w:fldCharType="begin"/>
        </w:r>
        <w:r w:rsidRPr="00525425">
          <w:rPr>
            <w:rFonts w:ascii="Arial" w:hAnsi="Arial" w:cs="Arial"/>
            <w:sz w:val="18"/>
            <w:szCs w:val="18"/>
          </w:rPr>
          <w:instrText xml:space="preserve"> PAGE   \* MERGEFORMAT </w:instrText>
        </w:r>
        <w:r w:rsidRPr="00525425">
          <w:rPr>
            <w:rFonts w:ascii="Arial" w:hAnsi="Arial" w:cs="Arial"/>
            <w:sz w:val="18"/>
            <w:szCs w:val="18"/>
          </w:rPr>
          <w:fldChar w:fldCharType="separate"/>
        </w:r>
        <w:r w:rsidR="001D6958">
          <w:rPr>
            <w:rFonts w:ascii="Arial" w:hAnsi="Arial" w:cs="Arial"/>
            <w:noProof/>
            <w:sz w:val="18"/>
            <w:szCs w:val="18"/>
          </w:rPr>
          <w:t>56</w:t>
        </w:r>
        <w:r w:rsidRPr="00525425">
          <w:rPr>
            <w:rFonts w:ascii="Arial" w:hAnsi="Arial" w:cs="Arial"/>
            <w:noProof/>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122096"/>
      <w:docPartObj>
        <w:docPartGallery w:val="Page Numbers (Bottom of Page)"/>
        <w:docPartUnique/>
      </w:docPartObj>
    </w:sdtPr>
    <w:sdtEndPr>
      <w:rPr>
        <w:rFonts w:ascii="Arial" w:hAnsi="Arial" w:cs="Arial"/>
        <w:noProof/>
        <w:sz w:val="18"/>
        <w:szCs w:val="18"/>
      </w:rPr>
    </w:sdtEndPr>
    <w:sdtContent>
      <w:p w:rsidR="00952AF1" w:rsidRPr="00525425" w:rsidRDefault="00952AF1" w:rsidP="0009212F">
        <w:pPr>
          <w:pStyle w:val="Footer"/>
          <w:tabs>
            <w:tab w:val="left" w:pos="10348"/>
          </w:tabs>
          <w:rPr>
            <w:rFonts w:ascii="Arial" w:hAnsi="Arial" w:cs="Arial"/>
            <w:sz w:val="18"/>
            <w:szCs w:val="18"/>
          </w:rPr>
        </w:pPr>
        <w:r w:rsidRPr="00525425">
          <w:rPr>
            <w:rFonts w:ascii="Arial" w:hAnsi="Arial" w:cs="Arial"/>
            <w:sz w:val="18"/>
            <w:szCs w:val="18"/>
          </w:rPr>
          <w:t xml:space="preserve">Western Australian Electoral </w:t>
        </w:r>
        <w:proofErr w:type="gramStart"/>
        <w:r w:rsidRPr="00525425">
          <w:rPr>
            <w:rFonts w:ascii="Arial" w:hAnsi="Arial" w:cs="Arial"/>
            <w:sz w:val="18"/>
            <w:szCs w:val="18"/>
          </w:rPr>
          <w:t>Commission</w:t>
        </w:r>
        <w:r>
          <w:t xml:space="preserve">  –</w:t>
        </w:r>
        <w:proofErr w:type="gramEnd"/>
        <w:r>
          <w:t xml:space="preserve">  </w:t>
        </w:r>
        <w:r w:rsidRPr="00525425">
          <w:rPr>
            <w:rFonts w:ascii="Arial" w:hAnsi="Arial" w:cs="Arial"/>
            <w:sz w:val="18"/>
            <w:szCs w:val="18"/>
          </w:rPr>
          <w:t>ANNUAL REPORT 2014-15</w:t>
        </w:r>
        <w:r w:rsidRPr="00525425">
          <w:rPr>
            <w:rFonts w:ascii="Arial" w:hAnsi="Arial" w:cs="Arial"/>
            <w:sz w:val="18"/>
            <w:szCs w:val="18"/>
          </w:rPr>
          <w:tab/>
        </w:r>
        <w:r w:rsidRPr="00525425">
          <w:rPr>
            <w:rFonts w:ascii="Arial" w:hAnsi="Arial" w:cs="Arial"/>
            <w:sz w:val="18"/>
            <w:szCs w:val="18"/>
          </w:rPr>
          <w:fldChar w:fldCharType="begin"/>
        </w:r>
        <w:r w:rsidRPr="00525425">
          <w:rPr>
            <w:rFonts w:ascii="Arial" w:hAnsi="Arial" w:cs="Arial"/>
            <w:sz w:val="18"/>
            <w:szCs w:val="18"/>
          </w:rPr>
          <w:instrText xml:space="preserve"> PAGE   \* MERGEFORMAT </w:instrText>
        </w:r>
        <w:r w:rsidRPr="00525425">
          <w:rPr>
            <w:rFonts w:ascii="Arial" w:hAnsi="Arial" w:cs="Arial"/>
            <w:sz w:val="18"/>
            <w:szCs w:val="18"/>
          </w:rPr>
          <w:fldChar w:fldCharType="separate"/>
        </w:r>
        <w:r w:rsidR="001D6958">
          <w:rPr>
            <w:rFonts w:ascii="Arial" w:hAnsi="Arial" w:cs="Arial"/>
            <w:noProof/>
            <w:sz w:val="18"/>
            <w:szCs w:val="18"/>
          </w:rPr>
          <w:t>28</w:t>
        </w:r>
        <w:r w:rsidRPr="00525425">
          <w:rPr>
            <w:rFonts w:ascii="Arial" w:hAnsi="Arial" w:cs="Arial"/>
            <w:noProof/>
            <w:sz w:val="18"/>
            <w:szCs w:val="1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F1" w:rsidRDefault="00952AF1">
    <w:pPr>
      <w:pStyle w:val="Footer"/>
    </w:pPr>
  </w:p>
  <w:sdt>
    <w:sdtPr>
      <w:id w:val="-932518873"/>
      <w:docPartObj>
        <w:docPartGallery w:val="Page Numbers (Bottom of Page)"/>
        <w:docPartUnique/>
      </w:docPartObj>
    </w:sdtPr>
    <w:sdtEndPr>
      <w:rPr>
        <w:rFonts w:ascii="Arial" w:hAnsi="Arial" w:cs="Arial"/>
        <w:noProof/>
        <w:sz w:val="18"/>
        <w:szCs w:val="18"/>
      </w:rPr>
    </w:sdtEndPr>
    <w:sdtContent>
      <w:p w:rsidR="00952AF1" w:rsidRPr="005D6CF9" w:rsidRDefault="00952AF1" w:rsidP="005D6CF9">
        <w:pPr>
          <w:pStyle w:val="Footer"/>
          <w:tabs>
            <w:tab w:val="clear" w:pos="9026"/>
            <w:tab w:val="left" w:pos="15309"/>
          </w:tabs>
          <w:ind w:left="-284" w:firstLine="284"/>
          <w:rPr>
            <w:rFonts w:ascii="Arial" w:hAnsi="Arial" w:cs="Arial"/>
            <w:sz w:val="18"/>
            <w:szCs w:val="18"/>
          </w:rPr>
        </w:pPr>
        <w:r w:rsidRPr="00525425">
          <w:rPr>
            <w:rFonts w:ascii="Arial" w:hAnsi="Arial" w:cs="Arial"/>
            <w:sz w:val="18"/>
            <w:szCs w:val="18"/>
          </w:rPr>
          <w:t>Western Australian Electoral Commission</w:t>
        </w:r>
        <w:r>
          <w:t xml:space="preserve"> – </w:t>
        </w:r>
        <w:r w:rsidRPr="00525425">
          <w:rPr>
            <w:rFonts w:ascii="Arial" w:hAnsi="Arial" w:cs="Arial"/>
            <w:sz w:val="18"/>
            <w:szCs w:val="18"/>
          </w:rPr>
          <w:t>ANNUAL REPORT 2014-15</w:t>
        </w:r>
        <w:r>
          <w:rPr>
            <w:rFonts w:ascii="Arial" w:hAnsi="Arial" w:cs="Arial"/>
            <w:sz w:val="18"/>
            <w:szCs w:val="18"/>
          </w:rPr>
          <w:tab/>
        </w:r>
        <w:r w:rsidRPr="00525425">
          <w:rPr>
            <w:rFonts w:ascii="Arial" w:hAnsi="Arial" w:cs="Arial"/>
            <w:sz w:val="18"/>
            <w:szCs w:val="18"/>
          </w:rPr>
          <w:fldChar w:fldCharType="begin"/>
        </w:r>
        <w:r w:rsidRPr="00525425">
          <w:rPr>
            <w:rFonts w:ascii="Arial" w:hAnsi="Arial" w:cs="Arial"/>
            <w:sz w:val="18"/>
            <w:szCs w:val="18"/>
          </w:rPr>
          <w:instrText xml:space="preserve"> PAGE   \* MERGEFORMAT </w:instrText>
        </w:r>
        <w:r w:rsidRPr="00525425">
          <w:rPr>
            <w:rFonts w:ascii="Arial" w:hAnsi="Arial" w:cs="Arial"/>
            <w:sz w:val="18"/>
            <w:szCs w:val="18"/>
          </w:rPr>
          <w:fldChar w:fldCharType="separate"/>
        </w:r>
        <w:r w:rsidR="001D6958">
          <w:rPr>
            <w:rFonts w:ascii="Arial" w:hAnsi="Arial" w:cs="Arial"/>
            <w:noProof/>
            <w:sz w:val="18"/>
            <w:szCs w:val="18"/>
          </w:rPr>
          <w:t>64</w:t>
        </w:r>
        <w:r w:rsidRPr="00525425">
          <w:rPr>
            <w:rFonts w:ascii="Arial" w:hAnsi="Arial" w:cs="Arial"/>
            <w:noProof/>
            <w:sz w:val="18"/>
            <w:szCs w:val="18"/>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AF1" w:rsidRDefault="00952AF1">
    <w:pPr>
      <w:pStyle w:val="Footer"/>
      <w:jc w:val="right"/>
    </w:pPr>
  </w:p>
  <w:sdt>
    <w:sdtPr>
      <w:id w:val="-628781504"/>
      <w:docPartObj>
        <w:docPartGallery w:val="Page Numbers (Bottom of Page)"/>
        <w:docPartUnique/>
      </w:docPartObj>
    </w:sdtPr>
    <w:sdtEndPr>
      <w:rPr>
        <w:rFonts w:ascii="Arial" w:hAnsi="Arial" w:cs="Arial"/>
        <w:noProof/>
        <w:sz w:val="18"/>
        <w:szCs w:val="18"/>
      </w:rPr>
    </w:sdtEndPr>
    <w:sdtContent>
      <w:p w:rsidR="00952AF1" w:rsidRPr="005D6CF9" w:rsidRDefault="00952AF1" w:rsidP="005D6CF9">
        <w:pPr>
          <w:pStyle w:val="Footer"/>
          <w:tabs>
            <w:tab w:val="clear" w:pos="4513"/>
            <w:tab w:val="clear" w:pos="9026"/>
            <w:tab w:val="left" w:pos="15026"/>
          </w:tabs>
          <w:rPr>
            <w:rFonts w:ascii="Arial" w:hAnsi="Arial" w:cs="Arial"/>
            <w:sz w:val="18"/>
            <w:szCs w:val="18"/>
          </w:rPr>
        </w:pPr>
        <w:r w:rsidRPr="00525425">
          <w:rPr>
            <w:rFonts w:ascii="Arial" w:hAnsi="Arial" w:cs="Arial"/>
            <w:sz w:val="18"/>
            <w:szCs w:val="18"/>
          </w:rPr>
          <w:t>Western Australian Electoral Commission</w:t>
        </w:r>
        <w:r>
          <w:t xml:space="preserve"> – </w:t>
        </w:r>
        <w:r w:rsidRPr="00525425">
          <w:rPr>
            <w:rFonts w:ascii="Arial" w:hAnsi="Arial" w:cs="Arial"/>
            <w:sz w:val="18"/>
            <w:szCs w:val="18"/>
          </w:rPr>
          <w:t>ANNUAL REPORT 2014-15</w:t>
        </w:r>
        <w:r>
          <w:rPr>
            <w:rFonts w:ascii="Arial" w:hAnsi="Arial" w:cs="Arial"/>
            <w:sz w:val="18"/>
            <w:szCs w:val="18"/>
          </w:rPr>
          <w:tab/>
        </w:r>
        <w:r w:rsidRPr="00525425">
          <w:rPr>
            <w:rFonts w:ascii="Arial" w:hAnsi="Arial" w:cs="Arial"/>
            <w:sz w:val="18"/>
            <w:szCs w:val="18"/>
          </w:rPr>
          <w:fldChar w:fldCharType="begin"/>
        </w:r>
        <w:r w:rsidRPr="00525425">
          <w:rPr>
            <w:rFonts w:ascii="Arial" w:hAnsi="Arial" w:cs="Arial"/>
            <w:sz w:val="18"/>
            <w:szCs w:val="18"/>
          </w:rPr>
          <w:instrText xml:space="preserve"> PAGE   \* MERGEFORMAT </w:instrText>
        </w:r>
        <w:r w:rsidRPr="00525425">
          <w:rPr>
            <w:rFonts w:ascii="Arial" w:hAnsi="Arial" w:cs="Arial"/>
            <w:sz w:val="18"/>
            <w:szCs w:val="18"/>
          </w:rPr>
          <w:fldChar w:fldCharType="separate"/>
        </w:r>
        <w:r w:rsidR="001D6958">
          <w:rPr>
            <w:rFonts w:ascii="Arial" w:hAnsi="Arial" w:cs="Arial"/>
            <w:noProof/>
            <w:sz w:val="18"/>
            <w:szCs w:val="18"/>
          </w:rPr>
          <w:t>62</w:t>
        </w:r>
        <w:r w:rsidRPr="00525425">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F1" w:rsidRDefault="00952AF1" w:rsidP="00E96B50">
      <w:pPr>
        <w:spacing w:after="0" w:line="240" w:lineRule="auto"/>
      </w:pPr>
      <w:r>
        <w:separator/>
      </w:r>
    </w:p>
  </w:footnote>
  <w:footnote w:type="continuationSeparator" w:id="0">
    <w:p w:rsidR="00952AF1" w:rsidRDefault="00952AF1" w:rsidP="00E96B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9E2"/>
    <w:multiLevelType w:val="singleLevel"/>
    <w:tmpl w:val="2FEE2E5A"/>
    <w:lvl w:ilvl="0">
      <w:start w:val="1"/>
      <w:numFmt w:val="bullet"/>
      <w:pStyle w:val="Dash"/>
      <w:lvlText w:val=""/>
      <w:lvlJc w:val="left"/>
      <w:pPr>
        <w:tabs>
          <w:tab w:val="num" w:pos="1494"/>
        </w:tabs>
        <w:ind w:left="1418" w:hanging="284"/>
      </w:pPr>
      <w:rPr>
        <w:rFonts w:ascii="Symbol" w:hAnsi="Symbol" w:hint="default"/>
      </w:rPr>
    </w:lvl>
  </w:abstractNum>
  <w:abstractNum w:abstractNumId="1">
    <w:nsid w:val="09D61644"/>
    <w:multiLevelType w:val="hybridMultilevel"/>
    <w:tmpl w:val="C1C4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D376E70"/>
    <w:multiLevelType w:val="hybridMultilevel"/>
    <w:tmpl w:val="075468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1DA56D59"/>
    <w:multiLevelType w:val="hybridMultilevel"/>
    <w:tmpl w:val="C6BA6568"/>
    <w:lvl w:ilvl="0" w:tplc="9A6483E8">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F7E6AAE"/>
    <w:multiLevelType w:val="hybridMultilevel"/>
    <w:tmpl w:val="4CFE2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827B56"/>
    <w:multiLevelType w:val="hybridMultilevel"/>
    <w:tmpl w:val="4B94F288"/>
    <w:lvl w:ilvl="0" w:tplc="0E040A36">
      <w:start w:val="1"/>
      <w:numFmt w:val="lowerLetter"/>
      <w:lvlText w:val="(%1)"/>
      <w:lvlJc w:val="left"/>
      <w:pPr>
        <w:ind w:left="360" w:hanging="360"/>
      </w:pPr>
      <w:rPr>
        <w:rFonts w:hint="default"/>
        <w:vertAlign w:val="superscrip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36441BBD"/>
    <w:multiLevelType w:val="hybridMultilevel"/>
    <w:tmpl w:val="A1E07D60"/>
    <w:lvl w:ilvl="0" w:tplc="0C09000D">
      <w:start w:val="1"/>
      <w:numFmt w:val="bullet"/>
      <w:lvlText w:val=""/>
      <w:lvlJc w:val="left"/>
      <w:pPr>
        <w:ind w:left="776" w:hanging="360"/>
      </w:pPr>
      <w:rPr>
        <w:rFonts w:ascii="Wingdings" w:hAnsi="Wingdings"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nsid w:val="438575B0"/>
    <w:multiLevelType w:val="hybridMultilevel"/>
    <w:tmpl w:val="6DCCC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9F6A75"/>
    <w:multiLevelType w:val="hybridMultilevel"/>
    <w:tmpl w:val="BEE85C1E"/>
    <w:lvl w:ilvl="0" w:tplc="0C09000D">
      <w:start w:val="1"/>
      <w:numFmt w:val="bullet"/>
      <w:lvlText w:val=""/>
      <w:lvlJc w:val="left"/>
      <w:pPr>
        <w:ind w:left="776" w:hanging="360"/>
      </w:pPr>
      <w:rPr>
        <w:rFonts w:ascii="Wingdings" w:hAnsi="Wingdings"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
    <w:nsid w:val="4DBA1E3F"/>
    <w:multiLevelType w:val="hybridMultilevel"/>
    <w:tmpl w:val="2BDC0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03B2AB5"/>
    <w:multiLevelType w:val="hybridMultilevel"/>
    <w:tmpl w:val="30547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3B924F0"/>
    <w:multiLevelType w:val="hybridMultilevel"/>
    <w:tmpl w:val="351E1384"/>
    <w:lvl w:ilvl="0" w:tplc="E8F6E6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651B0E96"/>
    <w:multiLevelType w:val="multilevel"/>
    <w:tmpl w:val="FF40DE60"/>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lowerLetter"/>
      <w:pStyle w:val="warren3"/>
      <w:lvlText w:val="(%3)"/>
      <w:lvlJc w:val="left"/>
      <w:pPr>
        <w:tabs>
          <w:tab w:val="num" w:pos="851"/>
        </w:tabs>
        <w:ind w:left="851" w:hanging="794"/>
      </w:pPr>
    </w:lvl>
    <w:lvl w:ilvl="3">
      <w:start w:val="1"/>
      <w:numFmt w:val="lowerRoman"/>
      <w:pStyle w:val="Heading4"/>
      <w:lvlText w:val="(%4)"/>
      <w:lvlJc w:val="left"/>
      <w:pPr>
        <w:tabs>
          <w:tab w:val="num" w:pos="2552"/>
        </w:tabs>
        <w:ind w:left="2552" w:hanging="851"/>
      </w:pPr>
    </w:lvl>
    <w:lvl w:ilvl="4">
      <w:start w:val="1"/>
      <w:numFmt w:val="upperLetter"/>
      <w:pStyle w:val="Heading5"/>
      <w:lvlText w:val="(%5)"/>
      <w:lvlJc w:val="left"/>
      <w:pPr>
        <w:tabs>
          <w:tab w:val="num" w:pos="3402"/>
        </w:tabs>
        <w:ind w:left="3402" w:hanging="850"/>
      </w:pPr>
    </w:lvl>
    <w:lvl w:ilvl="5">
      <w:start w:val="1"/>
      <w:numFmt w:val="upperRoman"/>
      <w:pStyle w:val="Heading6"/>
      <w:lvlText w:val="(%6)"/>
      <w:lvlJc w:val="left"/>
      <w:pPr>
        <w:tabs>
          <w:tab w:val="num" w:pos="4253"/>
        </w:tabs>
        <w:ind w:left="4253" w:hanging="851"/>
      </w:pPr>
    </w:lvl>
    <w:lvl w:ilvl="6">
      <w:start w:val="1"/>
      <w:numFmt w:val="none"/>
      <w:pStyle w:val="Heading7"/>
      <w:suff w:val="nothing"/>
      <w:lvlText w:val="%7"/>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3">
    <w:nsid w:val="6AA74E36"/>
    <w:multiLevelType w:val="hybridMultilevel"/>
    <w:tmpl w:val="6D5866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761C7333"/>
    <w:multiLevelType w:val="singleLevel"/>
    <w:tmpl w:val="24BE196E"/>
    <w:lvl w:ilvl="0">
      <w:start w:val="1"/>
      <w:numFmt w:val="bullet"/>
      <w:pStyle w:val="Style2"/>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1"/>
  </w:num>
  <w:num w:numId="4">
    <w:abstractNumId w:val="10"/>
  </w:num>
  <w:num w:numId="5">
    <w:abstractNumId w:val="2"/>
  </w:num>
  <w:num w:numId="6">
    <w:abstractNumId w:val="14"/>
  </w:num>
  <w:num w:numId="7">
    <w:abstractNumId w:val="0"/>
  </w:num>
  <w:num w:numId="8">
    <w:abstractNumId w:val="12"/>
  </w:num>
  <w:num w:numId="9">
    <w:abstractNumId w:val="7"/>
  </w:num>
  <w:num w:numId="10">
    <w:abstractNumId w:val="9"/>
  </w:num>
  <w:num w:numId="11">
    <w:abstractNumId w:val="4"/>
  </w:num>
  <w:num w:numId="12">
    <w:abstractNumId w:val="13"/>
  </w:num>
  <w:num w:numId="13">
    <w:abstractNumId w:val="5"/>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D76"/>
    <w:rsid w:val="00004257"/>
    <w:rsid w:val="00047F19"/>
    <w:rsid w:val="00050291"/>
    <w:rsid w:val="00067D76"/>
    <w:rsid w:val="00090DBE"/>
    <w:rsid w:val="0009212F"/>
    <w:rsid w:val="000E680A"/>
    <w:rsid w:val="001152C9"/>
    <w:rsid w:val="00186508"/>
    <w:rsid w:val="001D6958"/>
    <w:rsid w:val="00271B0D"/>
    <w:rsid w:val="002C0B6D"/>
    <w:rsid w:val="003451BD"/>
    <w:rsid w:val="003D4B84"/>
    <w:rsid w:val="00410846"/>
    <w:rsid w:val="0041683D"/>
    <w:rsid w:val="0042304B"/>
    <w:rsid w:val="004B6B77"/>
    <w:rsid w:val="004C6811"/>
    <w:rsid w:val="004F3AD0"/>
    <w:rsid w:val="005049C0"/>
    <w:rsid w:val="00531416"/>
    <w:rsid w:val="005D6CF9"/>
    <w:rsid w:val="00672A12"/>
    <w:rsid w:val="00775899"/>
    <w:rsid w:val="0079170D"/>
    <w:rsid w:val="007D38A8"/>
    <w:rsid w:val="008647C2"/>
    <w:rsid w:val="008A0474"/>
    <w:rsid w:val="008F0B8B"/>
    <w:rsid w:val="0090315D"/>
    <w:rsid w:val="00910EA2"/>
    <w:rsid w:val="009156D8"/>
    <w:rsid w:val="009323F2"/>
    <w:rsid w:val="00952AF1"/>
    <w:rsid w:val="0098393B"/>
    <w:rsid w:val="00A12070"/>
    <w:rsid w:val="00A14916"/>
    <w:rsid w:val="00A32E32"/>
    <w:rsid w:val="00A642A8"/>
    <w:rsid w:val="00A97CE9"/>
    <w:rsid w:val="00AA3B88"/>
    <w:rsid w:val="00AC4F06"/>
    <w:rsid w:val="00AC569D"/>
    <w:rsid w:val="00B10ADA"/>
    <w:rsid w:val="00B149BC"/>
    <w:rsid w:val="00B40057"/>
    <w:rsid w:val="00BE7F6F"/>
    <w:rsid w:val="00C3314F"/>
    <w:rsid w:val="00CD2798"/>
    <w:rsid w:val="00D462A7"/>
    <w:rsid w:val="00DE5DA3"/>
    <w:rsid w:val="00E43876"/>
    <w:rsid w:val="00E879A2"/>
    <w:rsid w:val="00E96B50"/>
    <w:rsid w:val="00ED7FB4"/>
    <w:rsid w:val="00F73CE3"/>
    <w:rsid w:val="00F844FB"/>
    <w:rsid w:val="00FA69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9212F"/>
    <w:pPr>
      <w:keepNext/>
      <w:numPr>
        <w:numId w:val="8"/>
      </w:numPr>
      <w:spacing w:before="60" w:after="240" w:line="240" w:lineRule="auto"/>
      <w:outlineLvl w:val="0"/>
    </w:pPr>
    <w:rPr>
      <w:rFonts w:ascii="Times New Roman" w:eastAsia="Times New Roman" w:hAnsi="Times New Roman" w:cs="Times New Roman"/>
      <w:b/>
      <w:caps/>
      <w:sz w:val="24"/>
      <w:szCs w:val="20"/>
      <w:lang w:eastAsia="en-AU"/>
    </w:rPr>
  </w:style>
  <w:style w:type="paragraph" w:styleId="Heading2">
    <w:name w:val="heading 2"/>
    <w:basedOn w:val="Normal"/>
    <w:next w:val="BodyText2"/>
    <w:link w:val="Heading2Char"/>
    <w:qFormat/>
    <w:rsid w:val="0009212F"/>
    <w:pPr>
      <w:keepNext/>
      <w:numPr>
        <w:ilvl w:val="1"/>
        <w:numId w:val="8"/>
      </w:numPr>
      <w:spacing w:after="240" w:line="240" w:lineRule="auto"/>
      <w:outlineLvl w:val="1"/>
    </w:pPr>
    <w:rPr>
      <w:rFonts w:ascii="Times New Roman" w:eastAsia="Times New Roman" w:hAnsi="Times New Roman" w:cs="Times New Roman"/>
      <w:b/>
      <w:sz w:val="24"/>
      <w:szCs w:val="20"/>
      <w:lang w:eastAsia="en-AU"/>
    </w:rPr>
  </w:style>
  <w:style w:type="paragraph" w:styleId="Heading3">
    <w:name w:val="heading 3"/>
    <w:basedOn w:val="Normal"/>
    <w:next w:val="BodyText3"/>
    <w:link w:val="Heading3Char"/>
    <w:qFormat/>
    <w:rsid w:val="0009212F"/>
    <w:pPr>
      <w:spacing w:after="240" w:line="240" w:lineRule="auto"/>
      <w:jc w:val="both"/>
      <w:outlineLvl w:val="2"/>
    </w:pPr>
    <w:rPr>
      <w:rFonts w:ascii="Times New Roman" w:eastAsia="Times New Roman" w:hAnsi="Times New Roman" w:cs="Times New Roman"/>
      <w:sz w:val="24"/>
      <w:szCs w:val="20"/>
      <w:lang w:eastAsia="en-AU"/>
    </w:rPr>
  </w:style>
  <w:style w:type="paragraph" w:styleId="Heading4">
    <w:name w:val="heading 4"/>
    <w:basedOn w:val="Normal"/>
    <w:next w:val="BodyText4"/>
    <w:link w:val="Heading4Char"/>
    <w:qFormat/>
    <w:rsid w:val="0009212F"/>
    <w:pPr>
      <w:numPr>
        <w:ilvl w:val="3"/>
        <w:numId w:val="8"/>
      </w:numPr>
      <w:spacing w:after="240" w:line="240" w:lineRule="auto"/>
      <w:jc w:val="both"/>
      <w:outlineLvl w:val="3"/>
    </w:pPr>
    <w:rPr>
      <w:rFonts w:ascii="Times New Roman" w:eastAsia="Times New Roman" w:hAnsi="Times New Roman" w:cs="Times New Roman"/>
      <w:sz w:val="24"/>
      <w:szCs w:val="20"/>
      <w:lang w:eastAsia="en-AU"/>
    </w:rPr>
  </w:style>
  <w:style w:type="paragraph" w:styleId="Heading5">
    <w:name w:val="heading 5"/>
    <w:basedOn w:val="Normal"/>
    <w:next w:val="BodyText5"/>
    <w:link w:val="Heading5Char"/>
    <w:qFormat/>
    <w:rsid w:val="0009212F"/>
    <w:pPr>
      <w:numPr>
        <w:ilvl w:val="4"/>
        <w:numId w:val="8"/>
      </w:numPr>
      <w:spacing w:after="240" w:line="240" w:lineRule="auto"/>
      <w:jc w:val="both"/>
      <w:outlineLvl w:val="4"/>
    </w:pPr>
    <w:rPr>
      <w:rFonts w:ascii="Times New Roman" w:eastAsia="Times New Roman" w:hAnsi="Times New Roman" w:cs="Times New Roman"/>
      <w:sz w:val="24"/>
      <w:szCs w:val="20"/>
      <w:lang w:eastAsia="en-AU"/>
    </w:rPr>
  </w:style>
  <w:style w:type="paragraph" w:styleId="Heading6">
    <w:name w:val="heading 6"/>
    <w:basedOn w:val="Normal"/>
    <w:next w:val="BodyText6"/>
    <w:link w:val="Heading6Char"/>
    <w:qFormat/>
    <w:rsid w:val="0009212F"/>
    <w:pPr>
      <w:numPr>
        <w:ilvl w:val="5"/>
        <w:numId w:val="8"/>
      </w:numPr>
      <w:spacing w:after="240" w:line="240" w:lineRule="auto"/>
      <w:jc w:val="both"/>
      <w:outlineLvl w:val="5"/>
    </w:pPr>
    <w:rPr>
      <w:rFonts w:ascii="Times New Roman" w:eastAsia="Times New Roman" w:hAnsi="Times New Roman" w:cs="Times New Roman"/>
      <w:sz w:val="24"/>
      <w:szCs w:val="20"/>
      <w:lang w:eastAsia="en-AU"/>
    </w:rPr>
  </w:style>
  <w:style w:type="paragraph" w:styleId="Heading7">
    <w:name w:val="heading 7"/>
    <w:basedOn w:val="Normal"/>
    <w:next w:val="Normal"/>
    <w:link w:val="Heading7Char"/>
    <w:qFormat/>
    <w:rsid w:val="0009212F"/>
    <w:pPr>
      <w:numPr>
        <w:ilvl w:val="6"/>
        <w:numId w:val="8"/>
      </w:numPr>
      <w:spacing w:after="0" w:line="240" w:lineRule="auto"/>
      <w:jc w:val="both"/>
      <w:outlineLvl w:val="6"/>
    </w:pPr>
    <w:rPr>
      <w:rFonts w:ascii="Times New Roman" w:eastAsia="Times New Roman" w:hAnsi="Times New Roman" w:cs="Times New Roman"/>
      <w:sz w:val="24"/>
      <w:szCs w:val="20"/>
      <w:lang w:eastAsia="en-AU"/>
    </w:rPr>
  </w:style>
  <w:style w:type="paragraph" w:styleId="Heading8">
    <w:name w:val="heading 8"/>
    <w:basedOn w:val="Normal"/>
    <w:next w:val="Normal"/>
    <w:link w:val="Heading8Char"/>
    <w:qFormat/>
    <w:rsid w:val="0009212F"/>
    <w:pPr>
      <w:numPr>
        <w:ilvl w:val="7"/>
        <w:numId w:val="8"/>
      </w:numPr>
      <w:spacing w:after="0" w:line="240" w:lineRule="auto"/>
      <w:jc w:val="both"/>
      <w:outlineLvl w:val="7"/>
    </w:pPr>
    <w:rPr>
      <w:rFonts w:ascii="Times New Roman" w:eastAsia="Times New Roman" w:hAnsi="Times New Roman" w:cs="Times New Roman"/>
      <w:sz w:val="24"/>
      <w:szCs w:val="20"/>
      <w:lang w:eastAsia="en-AU"/>
    </w:rPr>
  </w:style>
  <w:style w:type="paragraph" w:styleId="Heading9">
    <w:name w:val="heading 9"/>
    <w:basedOn w:val="Normal"/>
    <w:next w:val="Normal"/>
    <w:link w:val="Heading9Char"/>
    <w:qFormat/>
    <w:rsid w:val="0009212F"/>
    <w:pPr>
      <w:numPr>
        <w:ilvl w:val="8"/>
        <w:numId w:val="8"/>
      </w:numPr>
      <w:spacing w:after="0" w:line="240" w:lineRule="auto"/>
      <w:jc w:val="both"/>
      <w:outlineLvl w:val="8"/>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12F"/>
    <w:rPr>
      <w:rFonts w:ascii="Times New Roman" w:eastAsia="Times New Roman" w:hAnsi="Times New Roman" w:cs="Times New Roman"/>
      <w:b/>
      <w:caps/>
      <w:sz w:val="24"/>
      <w:szCs w:val="20"/>
      <w:lang w:eastAsia="en-AU"/>
    </w:rPr>
  </w:style>
  <w:style w:type="paragraph" w:styleId="BodyText2">
    <w:name w:val="Body Text 2"/>
    <w:basedOn w:val="Normal"/>
    <w:link w:val="BodyText2Char"/>
    <w:rsid w:val="0009212F"/>
    <w:pPr>
      <w:spacing w:after="240" w:line="240" w:lineRule="auto"/>
      <w:ind w:left="850"/>
      <w:jc w:val="both"/>
    </w:pPr>
    <w:rPr>
      <w:rFonts w:ascii="Times New Roman" w:eastAsia="Times New Roman" w:hAnsi="Times New Roman" w:cs="Times New Roman"/>
      <w:sz w:val="24"/>
      <w:szCs w:val="20"/>
      <w:lang w:eastAsia="en-AU"/>
    </w:rPr>
  </w:style>
  <w:style w:type="character" w:customStyle="1" w:styleId="BodyText2Char">
    <w:name w:val="Body Text 2 Char"/>
    <w:basedOn w:val="DefaultParagraphFont"/>
    <w:link w:val="BodyText2"/>
    <w:rsid w:val="0009212F"/>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rsid w:val="0009212F"/>
    <w:rPr>
      <w:rFonts w:ascii="Times New Roman" w:eastAsia="Times New Roman" w:hAnsi="Times New Roman" w:cs="Times New Roman"/>
      <w:b/>
      <w:sz w:val="24"/>
      <w:szCs w:val="20"/>
      <w:lang w:eastAsia="en-AU"/>
    </w:rPr>
  </w:style>
  <w:style w:type="paragraph" w:styleId="BodyText3">
    <w:name w:val="Body Text 3"/>
    <w:basedOn w:val="Normal"/>
    <w:link w:val="BodyText3Char"/>
    <w:rsid w:val="0009212F"/>
    <w:pPr>
      <w:spacing w:after="240" w:line="240" w:lineRule="auto"/>
      <w:ind w:left="1701"/>
      <w:jc w:val="both"/>
    </w:pPr>
    <w:rPr>
      <w:rFonts w:ascii="Times New Roman" w:eastAsia="Times New Roman" w:hAnsi="Times New Roman" w:cs="Times New Roman"/>
      <w:sz w:val="24"/>
      <w:szCs w:val="20"/>
      <w:lang w:eastAsia="en-AU"/>
    </w:rPr>
  </w:style>
  <w:style w:type="character" w:customStyle="1" w:styleId="BodyText3Char">
    <w:name w:val="Body Text 3 Char"/>
    <w:basedOn w:val="DefaultParagraphFont"/>
    <w:link w:val="BodyText3"/>
    <w:rsid w:val="0009212F"/>
    <w:rPr>
      <w:rFonts w:ascii="Times New Roman" w:eastAsia="Times New Roman" w:hAnsi="Times New Roman" w:cs="Times New Roman"/>
      <w:sz w:val="24"/>
      <w:szCs w:val="20"/>
      <w:lang w:eastAsia="en-AU"/>
    </w:rPr>
  </w:style>
  <w:style w:type="character" w:customStyle="1" w:styleId="Heading3Char">
    <w:name w:val="Heading 3 Char"/>
    <w:basedOn w:val="DefaultParagraphFont"/>
    <w:link w:val="Heading3"/>
    <w:rsid w:val="0009212F"/>
    <w:rPr>
      <w:rFonts w:ascii="Times New Roman" w:eastAsia="Times New Roman" w:hAnsi="Times New Roman" w:cs="Times New Roman"/>
      <w:sz w:val="24"/>
      <w:szCs w:val="20"/>
      <w:lang w:eastAsia="en-AU"/>
    </w:rPr>
  </w:style>
  <w:style w:type="paragraph" w:customStyle="1" w:styleId="BodyText4">
    <w:name w:val="Body Text 4"/>
    <w:basedOn w:val="Normal"/>
    <w:rsid w:val="0009212F"/>
    <w:pPr>
      <w:spacing w:after="240" w:line="240" w:lineRule="auto"/>
      <w:ind w:left="2551"/>
      <w:jc w:val="both"/>
    </w:pPr>
    <w:rPr>
      <w:rFonts w:ascii="Times New Roman" w:eastAsia="Times New Roman" w:hAnsi="Times New Roman" w:cs="Times New Roman"/>
      <w:sz w:val="24"/>
      <w:szCs w:val="20"/>
      <w:lang w:eastAsia="en-AU"/>
    </w:rPr>
  </w:style>
  <w:style w:type="character" w:customStyle="1" w:styleId="Heading4Char">
    <w:name w:val="Heading 4 Char"/>
    <w:basedOn w:val="DefaultParagraphFont"/>
    <w:link w:val="Heading4"/>
    <w:rsid w:val="0009212F"/>
    <w:rPr>
      <w:rFonts w:ascii="Times New Roman" w:eastAsia="Times New Roman" w:hAnsi="Times New Roman" w:cs="Times New Roman"/>
      <w:sz w:val="24"/>
      <w:szCs w:val="20"/>
      <w:lang w:eastAsia="en-AU"/>
    </w:rPr>
  </w:style>
  <w:style w:type="paragraph" w:customStyle="1" w:styleId="BodyText5">
    <w:name w:val="Body Text 5"/>
    <w:basedOn w:val="Normal"/>
    <w:rsid w:val="0009212F"/>
    <w:pPr>
      <w:spacing w:after="240" w:line="240" w:lineRule="auto"/>
      <w:ind w:left="3402"/>
      <w:jc w:val="both"/>
    </w:pPr>
    <w:rPr>
      <w:rFonts w:ascii="Times New Roman" w:eastAsia="Times New Roman" w:hAnsi="Times New Roman" w:cs="Times New Roman"/>
      <w:sz w:val="24"/>
      <w:szCs w:val="20"/>
      <w:lang w:eastAsia="en-AU"/>
    </w:rPr>
  </w:style>
  <w:style w:type="character" w:customStyle="1" w:styleId="Heading5Char">
    <w:name w:val="Heading 5 Char"/>
    <w:basedOn w:val="DefaultParagraphFont"/>
    <w:link w:val="Heading5"/>
    <w:rsid w:val="0009212F"/>
    <w:rPr>
      <w:rFonts w:ascii="Times New Roman" w:eastAsia="Times New Roman" w:hAnsi="Times New Roman" w:cs="Times New Roman"/>
      <w:sz w:val="24"/>
      <w:szCs w:val="20"/>
      <w:lang w:eastAsia="en-AU"/>
    </w:rPr>
  </w:style>
  <w:style w:type="paragraph" w:customStyle="1" w:styleId="BodyText6">
    <w:name w:val="Body Text 6"/>
    <w:basedOn w:val="Normal"/>
    <w:rsid w:val="0009212F"/>
    <w:pPr>
      <w:spacing w:after="240" w:line="240" w:lineRule="auto"/>
      <w:ind w:left="4252"/>
      <w:jc w:val="both"/>
    </w:pPr>
    <w:rPr>
      <w:rFonts w:ascii="Times New Roman" w:eastAsia="Times New Roman" w:hAnsi="Times New Roman" w:cs="Times New Roman"/>
      <w:sz w:val="24"/>
      <w:szCs w:val="20"/>
      <w:lang w:eastAsia="en-AU"/>
    </w:rPr>
  </w:style>
  <w:style w:type="character" w:customStyle="1" w:styleId="Heading6Char">
    <w:name w:val="Heading 6 Char"/>
    <w:basedOn w:val="DefaultParagraphFont"/>
    <w:link w:val="Heading6"/>
    <w:rsid w:val="0009212F"/>
    <w:rPr>
      <w:rFonts w:ascii="Times New Roman" w:eastAsia="Times New Roman" w:hAnsi="Times New Roman" w:cs="Times New Roman"/>
      <w:sz w:val="24"/>
      <w:szCs w:val="20"/>
      <w:lang w:eastAsia="en-AU"/>
    </w:rPr>
  </w:style>
  <w:style w:type="character" w:customStyle="1" w:styleId="Heading7Char">
    <w:name w:val="Heading 7 Char"/>
    <w:basedOn w:val="DefaultParagraphFont"/>
    <w:link w:val="Heading7"/>
    <w:rsid w:val="0009212F"/>
    <w:rPr>
      <w:rFonts w:ascii="Times New Roman" w:eastAsia="Times New Roman" w:hAnsi="Times New Roman" w:cs="Times New Roman"/>
      <w:sz w:val="24"/>
      <w:szCs w:val="20"/>
      <w:lang w:eastAsia="en-AU"/>
    </w:rPr>
  </w:style>
  <w:style w:type="character" w:customStyle="1" w:styleId="Heading8Char">
    <w:name w:val="Heading 8 Char"/>
    <w:basedOn w:val="DefaultParagraphFont"/>
    <w:link w:val="Heading8"/>
    <w:rsid w:val="0009212F"/>
    <w:rPr>
      <w:rFonts w:ascii="Times New Roman" w:eastAsia="Times New Roman" w:hAnsi="Times New Roman" w:cs="Times New Roman"/>
      <w:sz w:val="24"/>
      <w:szCs w:val="20"/>
      <w:lang w:eastAsia="en-AU"/>
    </w:rPr>
  </w:style>
  <w:style w:type="character" w:customStyle="1" w:styleId="Heading9Char">
    <w:name w:val="Heading 9 Char"/>
    <w:basedOn w:val="DefaultParagraphFont"/>
    <w:link w:val="Heading9"/>
    <w:rsid w:val="0009212F"/>
    <w:rPr>
      <w:rFonts w:ascii="Times New Roman" w:eastAsia="Times New Roman" w:hAnsi="Times New Roman" w:cs="Times New Roman"/>
      <w:sz w:val="24"/>
      <w:szCs w:val="20"/>
      <w:lang w:eastAsia="en-AU"/>
    </w:rPr>
  </w:style>
  <w:style w:type="paragraph" w:customStyle="1" w:styleId="BasicParagraph">
    <w:name w:val="[Basic Paragraph]"/>
    <w:basedOn w:val="Normal"/>
    <w:uiPriority w:val="99"/>
    <w:rsid w:val="00067D76"/>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C">
    <w:name w:val="BC"/>
    <w:basedOn w:val="Normal"/>
    <w:link w:val="BCChar"/>
    <w:uiPriority w:val="99"/>
    <w:rsid w:val="00067D76"/>
    <w:pPr>
      <w:suppressAutoHyphens/>
      <w:autoSpaceDE w:val="0"/>
      <w:autoSpaceDN w:val="0"/>
      <w:adjustRightInd w:val="0"/>
      <w:spacing w:before="57" w:after="113" w:line="245" w:lineRule="atLeast"/>
      <w:textAlignment w:val="center"/>
    </w:pPr>
    <w:rPr>
      <w:rFonts w:ascii="Arial" w:hAnsi="Arial" w:cs="Arial"/>
      <w:color w:val="58585B"/>
      <w:sz w:val="19"/>
      <w:szCs w:val="19"/>
      <w:lang w:val="en-GB"/>
    </w:rPr>
  </w:style>
  <w:style w:type="character" w:customStyle="1" w:styleId="BCChar">
    <w:name w:val="BC Char"/>
    <w:basedOn w:val="DefaultParagraphFont"/>
    <w:link w:val="BC"/>
    <w:uiPriority w:val="99"/>
    <w:rsid w:val="00FA69B7"/>
    <w:rPr>
      <w:rFonts w:ascii="Arial" w:hAnsi="Arial" w:cs="Arial"/>
      <w:color w:val="58585B"/>
      <w:sz w:val="19"/>
      <w:szCs w:val="19"/>
      <w:lang w:val="en-GB"/>
    </w:rPr>
  </w:style>
  <w:style w:type="paragraph" w:customStyle="1" w:styleId="bc-bold">
    <w:name w:val="bc - bold"/>
    <w:basedOn w:val="BC"/>
    <w:uiPriority w:val="99"/>
    <w:rsid w:val="00067D76"/>
    <w:rPr>
      <w:b/>
      <w:bCs/>
    </w:rPr>
  </w:style>
  <w:style w:type="paragraph" w:customStyle="1" w:styleId="Heading">
    <w:name w:val="Heading"/>
    <w:basedOn w:val="Normal"/>
    <w:link w:val="HeadingChar"/>
    <w:uiPriority w:val="99"/>
    <w:rsid w:val="00067D76"/>
    <w:pPr>
      <w:suppressAutoHyphens/>
      <w:autoSpaceDE w:val="0"/>
      <w:autoSpaceDN w:val="0"/>
      <w:adjustRightInd w:val="0"/>
      <w:spacing w:after="283" w:line="420" w:lineRule="atLeast"/>
      <w:textAlignment w:val="center"/>
    </w:pPr>
    <w:rPr>
      <w:rFonts w:ascii="Myriad Pro" w:hAnsi="Myriad Pro" w:cs="Myriad Pro"/>
      <w:caps/>
      <w:color w:val="BB8C0A"/>
      <w:spacing w:val="-13"/>
      <w:sz w:val="42"/>
      <w:szCs w:val="42"/>
      <w:lang w:val="en-GB"/>
    </w:rPr>
  </w:style>
  <w:style w:type="character" w:customStyle="1" w:styleId="HeadingChar">
    <w:name w:val="Heading Char"/>
    <w:basedOn w:val="DefaultParagraphFont"/>
    <w:link w:val="Heading"/>
    <w:uiPriority w:val="99"/>
    <w:rsid w:val="00067D76"/>
    <w:rPr>
      <w:rFonts w:ascii="Myriad Pro" w:hAnsi="Myriad Pro" w:cs="Myriad Pro"/>
      <w:caps/>
      <w:color w:val="BB8C0A"/>
      <w:spacing w:val="-13"/>
      <w:sz w:val="42"/>
      <w:szCs w:val="42"/>
      <w:lang w:val="en-GB"/>
    </w:rPr>
  </w:style>
  <w:style w:type="paragraph" w:customStyle="1" w:styleId="TOC-LEVEL1">
    <w:name w:val="TOC - LEVEL 1"/>
    <w:basedOn w:val="Normal"/>
    <w:uiPriority w:val="99"/>
    <w:rsid w:val="00067D76"/>
    <w:pPr>
      <w:suppressAutoHyphens/>
      <w:autoSpaceDE w:val="0"/>
      <w:autoSpaceDN w:val="0"/>
      <w:adjustRightInd w:val="0"/>
      <w:spacing w:before="57" w:after="0" w:line="220" w:lineRule="atLeast"/>
      <w:ind w:left="170"/>
      <w:textAlignment w:val="center"/>
    </w:pPr>
    <w:rPr>
      <w:rFonts w:ascii="Arial" w:hAnsi="Arial" w:cs="Arial"/>
      <w:b/>
      <w:bCs/>
      <w:color w:val="58585B"/>
      <w:sz w:val="19"/>
      <w:szCs w:val="19"/>
      <w:lang w:val="en-GB"/>
    </w:rPr>
  </w:style>
  <w:style w:type="paragraph" w:customStyle="1" w:styleId="TOC-HEADING">
    <w:name w:val="TOC - HEADING"/>
    <w:basedOn w:val="Normal"/>
    <w:uiPriority w:val="99"/>
    <w:rsid w:val="00067D76"/>
    <w:pPr>
      <w:tabs>
        <w:tab w:val="left" w:pos="170"/>
        <w:tab w:val="left" w:pos="340"/>
      </w:tabs>
      <w:suppressAutoHyphens/>
      <w:autoSpaceDE w:val="0"/>
      <w:autoSpaceDN w:val="0"/>
      <w:adjustRightInd w:val="0"/>
      <w:spacing w:before="170" w:after="0" w:line="250" w:lineRule="atLeast"/>
      <w:textAlignment w:val="center"/>
    </w:pPr>
    <w:rPr>
      <w:rFonts w:ascii="Arial" w:hAnsi="Arial" w:cs="Arial"/>
      <w:b/>
      <w:bCs/>
      <w:caps/>
      <w:color w:val="BB8C0A"/>
      <w:position w:val="-1"/>
      <w:sz w:val="19"/>
      <w:szCs w:val="19"/>
      <w:lang w:val="en-GB"/>
    </w:rPr>
  </w:style>
  <w:style w:type="paragraph" w:customStyle="1" w:styleId="TOC-Level2">
    <w:name w:val="TOC - Level 2"/>
    <w:basedOn w:val="TOC-LEVEL1"/>
    <w:uiPriority w:val="99"/>
    <w:rsid w:val="00067D76"/>
    <w:pPr>
      <w:spacing w:before="43"/>
      <w:ind w:left="227"/>
    </w:pPr>
    <w:rPr>
      <w:b w:val="0"/>
      <w:bCs w:val="0"/>
      <w:i/>
      <w:iCs/>
      <w:color w:val="000000"/>
    </w:rPr>
  </w:style>
  <w:style w:type="character" w:customStyle="1" w:styleId="TOC-Heading0">
    <w:name w:val="TOC - Heading"/>
    <w:uiPriority w:val="99"/>
    <w:rsid w:val="00067D76"/>
    <w:rPr>
      <w:rFonts w:ascii="Arial" w:hAnsi="Arial" w:cs="Arial"/>
      <w:color w:val="000000"/>
      <w:sz w:val="17"/>
      <w:szCs w:val="17"/>
    </w:rPr>
  </w:style>
  <w:style w:type="character" w:customStyle="1" w:styleId="TOC-SectionHead">
    <w:name w:val="TOC - Section Head"/>
    <w:basedOn w:val="DefaultParagraphFont"/>
    <w:uiPriority w:val="99"/>
    <w:rsid w:val="00067D76"/>
    <w:rPr>
      <w:rFonts w:ascii="Arial" w:hAnsi="Arial" w:cs="Arial"/>
      <w:b/>
      <w:bCs/>
      <w:caps/>
      <w:color w:val="BB8C0A"/>
      <w:position w:val="0"/>
      <w:sz w:val="18"/>
      <w:szCs w:val="18"/>
      <w:vertAlign w:val="baseline"/>
    </w:rPr>
  </w:style>
  <w:style w:type="character" w:customStyle="1" w:styleId="TOC-SubHead">
    <w:name w:val="TOC - Sub Head"/>
    <w:uiPriority w:val="99"/>
    <w:rsid w:val="00067D76"/>
    <w:rPr>
      <w:rFonts w:ascii="Arial" w:hAnsi="Arial" w:cs="Arial"/>
      <w:i/>
      <w:iCs/>
      <w:color w:val="000000"/>
      <w:sz w:val="16"/>
      <w:szCs w:val="16"/>
    </w:rPr>
  </w:style>
  <w:style w:type="paragraph" w:customStyle="1" w:styleId="Intro">
    <w:name w:val="Intro"/>
    <w:basedOn w:val="Normal"/>
    <w:uiPriority w:val="99"/>
    <w:rsid w:val="00067D76"/>
    <w:pPr>
      <w:suppressAutoHyphens/>
      <w:autoSpaceDE w:val="0"/>
      <w:autoSpaceDN w:val="0"/>
      <w:adjustRightInd w:val="0"/>
      <w:spacing w:before="567" w:after="113" w:line="280" w:lineRule="atLeast"/>
      <w:textAlignment w:val="center"/>
    </w:pPr>
    <w:rPr>
      <w:rFonts w:ascii="Myriad Pro" w:hAnsi="Myriad Pro" w:cs="Myriad Pro"/>
      <w:color w:val="0074A5"/>
      <w:lang w:val="en-GB"/>
    </w:rPr>
  </w:style>
  <w:style w:type="character" w:customStyle="1" w:styleId="nonbreaking">
    <w:name w:val="nonbreaking"/>
    <w:uiPriority w:val="99"/>
    <w:rsid w:val="00067D76"/>
  </w:style>
  <w:style w:type="paragraph" w:customStyle="1" w:styleId="Tick">
    <w:name w:val="Tick"/>
    <w:basedOn w:val="BC"/>
    <w:uiPriority w:val="99"/>
    <w:rsid w:val="00067D76"/>
    <w:pPr>
      <w:tabs>
        <w:tab w:val="left" w:pos="283"/>
      </w:tabs>
      <w:ind w:left="283" w:hanging="227"/>
    </w:pPr>
  </w:style>
  <w:style w:type="paragraph" w:customStyle="1" w:styleId="Heading1AR">
    <w:name w:val="Heading 1 AR"/>
    <w:basedOn w:val="Heading"/>
    <w:link w:val="Heading1ARChar"/>
    <w:qFormat/>
    <w:rsid w:val="00067D76"/>
  </w:style>
  <w:style w:type="character" w:customStyle="1" w:styleId="Heading1ARChar">
    <w:name w:val="Heading 1 AR Char"/>
    <w:basedOn w:val="HeadingChar"/>
    <w:link w:val="Heading1AR"/>
    <w:rsid w:val="00067D76"/>
    <w:rPr>
      <w:rFonts w:ascii="Myriad Pro" w:hAnsi="Myriad Pro" w:cs="Myriad Pro"/>
      <w:caps/>
      <w:color w:val="BB8C0A"/>
      <w:spacing w:val="-13"/>
      <w:sz w:val="42"/>
      <w:szCs w:val="42"/>
      <w:lang w:val="en-GB"/>
    </w:rPr>
  </w:style>
  <w:style w:type="paragraph" w:customStyle="1" w:styleId="BodyCopy">
    <w:name w:val="BodyCopy"/>
    <w:basedOn w:val="BC"/>
    <w:link w:val="BodyCopyChar"/>
    <w:qFormat/>
    <w:rsid w:val="00FA69B7"/>
  </w:style>
  <w:style w:type="character" w:customStyle="1" w:styleId="BodyCopyChar">
    <w:name w:val="BodyCopy Char"/>
    <w:basedOn w:val="BCChar"/>
    <w:link w:val="BodyCopy"/>
    <w:rsid w:val="00FA69B7"/>
    <w:rPr>
      <w:rFonts w:ascii="Arial" w:hAnsi="Arial" w:cs="Arial"/>
      <w:color w:val="58585B"/>
      <w:sz w:val="19"/>
      <w:szCs w:val="19"/>
      <w:lang w:val="en-GB"/>
    </w:rPr>
  </w:style>
  <w:style w:type="paragraph" w:customStyle="1" w:styleId="SectionHeading">
    <w:name w:val="Section Heading"/>
    <w:basedOn w:val="Heading"/>
    <w:link w:val="SectionHeadingChar"/>
    <w:uiPriority w:val="99"/>
    <w:rsid w:val="00FA69B7"/>
    <w:pPr>
      <w:spacing w:line="600" w:lineRule="atLeast"/>
    </w:pPr>
    <w:rPr>
      <w:rFonts w:ascii="Arial Narrow" w:hAnsi="Arial Narrow" w:cs="Arial Narrow"/>
      <w:spacing w:val="-17"/>
      <w:position w:val="-1"/>
      <w:sz w:val="58"/>
      <w:szCs w:val="58"/>
    </w:rPr>
  </w:style>
  <w:style w:type="paragraph" w:customStyle="1" w:styleId="SubHead">
    <w:name w:val="Sub Head"/>
    <w:basedOn w:val="BC"/>
    <w:link w:val="SubHeadChar"/>
    <w:uiPriority w:val="99"/>
    <w:rsid w:val="00FA69B7"/>
    <w:pPr>
      <w:spacing w:before="283" w:after="0"/>
    </w:pPr>
    <w:rPr>
      <w:caps/>
      <w:color w:val="006198"/>
      <w:sz w:val="22"/>
      <w:szCs w:val="22"/>
    </w:rPr>
  </w:style>
  <w:style w:type="paragraph" w:customStyle="1" w:styleId="DotPoint">
    <w:name w:val="Dot Point"/>
    <w:basedOn w:val="Tick"/>
    <w:uiPriority w:val="99"/>
    <w:rsid w:val="00FA69B7"/>
    <w:pPr>
      <w:spacing w:before="0" w:after="14"/>
    </w:pPr>
  </w:style>
  <w:style w:type="table" w:styleId="TableGrid">
    <w:name w:val="Table Grid"/>
    <w:basedOn w:val="TableNormal"/>
    <w:uiPriority w:val="59"/>
    <w:rsid w:val="008A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2">
    <w:name w:val="A12"/>
    <w:uiPriority w:val="99"/>
    <w:rsid w:val="008A0474"/>
    <w:rPr>
      <w:b/>
      <w:bCs/>
      <w:color w:val="000000"/>
      <w:sz w:val="16"/>
      <w:szCs w:val="16"/>
    </w:rPr>
  </w:style>
  <w:style w:type="character" w:customStyle="1" w:styleId="A18">
    <w:name w:val="A18"/>
    <w:uiPriority w:val="99"/>
    <w:rsid w:val="008A0474"/>
    <w:rPr>
      <w:b/>
      <w:bCs/>
      <w:color w:val="000000"/>
      <w:sz w:val="14"/>
      <w:szCs w:val="14"/>
    </w:rPr>
  </w:style>
  <w:style w:type="paragraph" w:customStyle="1" w:styleId="Pa0">
    <w:name w:val="Pa0"/>
    <w:basedOn w:val="Normal"/>
    <w:next w:val="Normal"/>
    <w:uiPriority w:val="99"/>
    <w:rsid w:val="008A0474"/>
    <w:pPr>
      <w:autoSpaceDE w:val="0"/>
      <w:autoSpaceDN w:val="0"/>
      <w:adjustRightInd w:val="0"/>
      <w:spacing w:after="0" w:line="241" w:lineRule="atLeast"/>
    </w:pPr>
    <w:rPr>
      <w:rFonts w:ascii="Arial" w:hAnsi="Arial" w:cs="Arial"/>
      <w:sz w:val="24"/>
      <w:szCs w:val="24"/>
    </w:rPr>
  </w:style>
  <w:style w:type="paragraph" w:customStyle="1" w:styleId="Default">
    <w:name w:val="Default"/>
    <w:rsid w:val="00E879A2"/>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E879A2"/>
    <w:pPr>
      <w:spacing w:line="191" w:lineRule="atLeast"/>
    </w:pPr>
    <w:rPr>
      <w:color w:val="auto"/>
    </w:rPr>
  </w:style>
  <w:style w:type="character" w:customStyle="1" w:styleId="A16">
    <w:name w:val="A16"/>
    <w:uiPriority w:val="99"/>
    <w:rsid w:val="00E879A2"/>
    <w:rPr>
      <w:color w:val="000000"/>
      <w:sz w:val="35"/>
      <w:szCs w:val="35"/>
    </w:rPr>
  </w:style>
  <w:style w:type="paragraph" w:customStyle="1" w:styleId="Pa9">
    <w:name w:val="Pa9"/>
    <w:basedOn w:val="Default"/>
    <w:next w:val="Default"/>
    <w:uiPriority w:val="99"/>
    <w:rsid w:val="00E879A2"/>
    <w:pPr>
      <w:spacing w:line="191" w:lineRule="atLeast"/>
    </w:pPr>
    <w:rPr>
      <w:color w:val="auto"/>
    </w:rPr>
  </w:style>
  <w:style w:type="character" w:customStyle="1" w:styleId="A15">
    <w:name w:val="A15"/>
    <w:uiPriority w:val="99"/>
    <w:rsid w:val="00E879A2"/>
    <w:rPr>
      <w:color w:val="000000"/>
    </w:rPr>
  </w:style>
  <w:style w:type="paragraph" w:customStyle="1" w:styleId="Pa12">
    <w:name w:val="Pa12"/>
    <w:basedOn w:val="Default"/>
    <w:next w:val="Default"/>
    <w:uiPriority w:val="99"/>
    <w:rsid w:val="00E879A2"/>
    <w:pPr>
      <w:spacing w:line="221" w:lineRule="atLeast"/>
    </w:pPr>
    <w:rPr>
      <w:color w:val="auto"/>
    </w:rPr>
  </w:style>
  <w:style w:type="paragraph" w:customStyle="1" w:styleId="Pa4">
    <w:name w:val="Pa4"/>
    <w:basedOn w:val="Default"/>
    <w:next w:val="Default"/>
    <w:uiPriority w:val="99"/>
    <w:rsid w:val="00C3314F"/>
    <w:pPr>
      <w:spacing w:line="421" w:lineRule="atLeast"/>
    </w:pPr>
    <w:rPr>
      <w:rFonts w:ascii="Myriad Pro" w:hAnsi="Myriad Pro" w:cstheme="minorBidi"/>
      <w:color w:val="auto"/>
    </w:rPr>
  </w:style>
  <w:style w:type="paragraph" w:customStyle="1" w:styleId="Pa8">
    <w:name w:val="Pa8"/>
    <w:basedOn w:val="Default"/>
    <w:next w:val="Default"/>
    <w:uiPriority w:val="99"/>
    <w:rsid w:val="00C3314F"/>
    <w:pPr>
      <w:spacing w:line="221" w:lineRule="atLeast"/>
    </w:pPr>
    <w:rPr>
      <w:rFonts w:ascii="Myriad Pro" w:hAnsi="Myriad Pro" w:cstheme="minorBidi"/>
      <w:color w:val="auto"/>
    </w:rPr>
  </w:style>
  <w:style w:type="paragraph" w:customStyle="1" w:styleId="Pa13">
    <w:name w:val="Pa13"/>
    <w:basedOn w:val="Default"/>
    <w:next w:val="Default"/>
    <w:uiPriority w:val="99"/>
    <w:rsid w:val="00C3314F"/>
    <w:pPr>
      <w:spacing w:line="191" w:lineRule="atLeast"/>
    </w:pPr>
    <w:rPr>
      <w:color w:val="auto"/>
    </w:rPr>
  </w:style>
  <w:style w:type="paragraph" w:customStyle="1" w:styleId="Pa10">
    <w:name w:val="Pa10"/>
    <w:basedOn w:val="Default"/>
    <w:next w:val="Default"/>
    <w:uiPriority w:val="99"/>
    <w:rsid w:val="00C3314F"/>
    <w:pPr>
      <w:spacing w:line="191" w:lineRule="atLeast"/>
    </w:pPr>
    <w:rPr>
      <w:color w:val="auto"/>
    </w:rPr>
  </w:style>
  <w:style w:type="paragraph" w:customStyle="1" w:styleId="Pa14">
    <w:name w:val="Pa14"/>
    <w:basedOn w:val="Default"/>
    <w:next w:val="Default"/>
    <w:uiPriority w:val="99"/>
    <w:rsid w:val="00C3314F"/>
    <w:pPr>
      <w:spacing w:line="191" w:lineRule="atLeast"/>
    </w:pPr>
    <w:rPr>
      <w:color w:val="auto"/>
    </w:rPr>
  </w:style>
  <w:style w:type="character" w:customStyle="1" w:styleId="A22">
    <w:name w:val="A22"/>
    <w:uiPriority w:val="99"/>
    <w:rsid w:val="00C3314F"/>
    <w:rPr>
      <w:b/>
      <w:bCs/>
      <w:color w:val="000000"/>
    </w:rPr>
  </w:style>
  <w:style w:type="character" w:customStyle="1" w:styleId="A14">
    <w:name w:val="A14"/>
    <w:uiPriority w:val="99"/>
    <w:rsid w:val="004F3AD0"/>
    <w:rPr>
      <w:color w:val="000000"/>
      <w:sz w:val="22"/>
      <w:szCs w:val="22"/>
    </w:rPr>
  </w:style>
  <w:style w:type="character" w:customStyle="1" w:styleId="A23">
    <w:name w:val="A23"/>
    <w:uiPriority w:val="99"/>
    <w:rsid w:val="004F3AD0"/>
    <w:rPr>
      <w:color w:val="000000"/>
      <w:sz w:val="11"/>
      <w:szCs w:val="11"/>
    </w:rPr>
  </w:style>
  <w:style w:type="paragraph" w:customStyle="1" w:styleId="Pa16">
    <w:name w:val="Pa16"/>
    <w:basedOn w:val="Default"/>
    <w:next w:val="Default"/>
    <w:uiPriority w:val="99"/>
    <w:rsid w:val="004F3AD0"/>
    <w:pPr>
      <w:spacing w:line="161" w:lineRule="atLeast"/>
    </w:pPr>
    <w:rPr>
      <w:color w:val="auto"/>
    </w:rPr>
  </w:style>
  <w:style w:type="paragraph" w:styleId="Header">
    <w:name w:val="header"/>
    <w:basedOn w:val="Normal"/>
    <w:link w:val="HeaderChar"/>
    <w:unhideWhenUsed/>
    <w:rsid w:val="00E96B50"/>
    <w:pPr>
      <w:tabs>
        <w:tab w:val="center" w:pos="4513"/>
        <w:tab w:val="right" w:pos="9026"/>
      </w:tabs>
      <w:spacing w:after="0" w:line="240" w:lineRule="auto"/>
    </w:pPr>
  </w:style>
  <w:style w:type="character" w:customStyle="1" w:styleId="HeaderChar">
    <w:name w:val="Header Char"/>
    <w:basedOn w:val="DefaultParagraphFont"/>
    <w:link w:val="Header"/>
    <w:rsid w:val="00E96B50"/>
  </w:style>
  <w:style w:type="paragraph" w:styleId="Footer">
    <w:name w:val="footer"/>
    <w:basedOn w:val="Normal"/>
    <w:link w:val="FooterChar"/>
    <w:uiPriority w:val="99"/>
    <w:unhideWhenUsed/>
    <w:rsid w:val="00E96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B50"/>
  </w:style>
  <w:style w:type="paragraph" w:customStyle="1" w:styleId="Annexure">
    <w:name w:val="Annexure"/>
    <w:basedOn w:val="Normal"/>
    <w:next w:val="Normal"/>
    <w:rsid w:val="0009212F"/>
    <w:pPr>
      <w:spacing w:after="240" w:line="240" w:lineRule="auto"/>
      <w:jc w:val="center"/>
    </w:pPr>
    <w:rPr>
      <w:rFonts w:ascii="Times New Roman" w:eastAsia="Times New Roman" w:hAnsi="Times New Roman" w:cs="Times New Roman"/>
      <w:b/>
      <w:caps/>
      <w:sz w:val="24"/>
      <w:szCs w:val="20"/>
      <w:lang w:eastAsia="en-AU"/>
    </w:rPr>
  </w:style>
  <w:style w:type="paragraph" w:styleId="BlockText">
    <w:name w:val="Block Text"/>
    <w:basedOn w:val="Normal"/>
    <w:next w:val="Normal"/>
    <w:rsid w:val="0009212F"/>
    <w:pPr>
      <w:spacing w:after="240" w:line="240" w:lineRule="auto"/>
      <w:jc w:val="both"/>
    </w:pPr>
    <w:rPr>
      <w:rFonts w:ascii="Times New Roman" w:eastAsia="Times New Roman" w:hAnsi="Times New Roman" w:cs="Times New Roman"/>
      <w:sz w:val="24"/>
      <w:szCs w:val="20"/>
      <w:lang w:eastAsia="en-AU"/>
    </w:rPr>
  </w:style>
  <w:style w:type="paragraph" w:customStyle="1" w:styleId="Schedule">
    <w:name w:val="Schedule"/>
    <w:basedOn w:val="Normal"/>
    <w:next w:val="Normal"/>
    <w:rsid w:val="0009212F"/>
    <w:pPr>
      <w:spacing w:after="240" w:line="240" w:lineRule="auto"/>
      <w:jc w:val="center"/>
    </w:pPr>
    <w:rPr>
      <w:rFonts w:ascii="Times New Roman" w:eastAsia="Times New Roman" w:hAnsi="Times New Roman" w:cs="Times New Roman"/>
      <w:b/>
      <w:caps/>
      <w:sz w:val="24"/>
      <w:szCs w:val="20"/>
      <w:lang w:eastAsia="en-AU"/>
    </w:rPr>
  </w:style>
  <w:style w:type="paragraph" w:customStyle="1" w:styleId="Style1">
    <w:name w:val="Style1"/>
    <w:basedOn w:val="Normal"/>
    <w:rsid w:val="0009212F"/>
    <w:pPr>
      <w:spacing w:before="60" w:after="60" w:line="240" w:lineRule="auto"/>
      <w:jc w:val="center"/>
    </w:pPr>
    <w:rPr>
      <w:rFonts w:ascii="Arial" w:eastAsia="Times New Roman" w:hAnsi="Arial" w:cs="Times New Roman"/>
      <w:sz w:val="20"/>
      <w:szCs w:val="20"/>
      <w:lang w:eastAsia="en-AU"/>
    </w:rPr>
  </w:style>
  <w:style w:type="paragraph" w:styleId="TOC1">
    <w:name w:val="toc 1"/>
    <w:basedOn w:val="Normal"/>
    <w:next w:val="Normal"/>
    <w:autoRedefine/>
    <w:semiHidden/>
    <w:rsid w:val="0009212F"/>
    <w:pPr>
      <w:spacing w:before="120" w:after="120" w:line="240" w:lineRule="auto"/>
    </w:pPr>
    <w:rPr>
      <w:rFonts w:ascii="Times New Roman" w:eastAsia="Times New Roman" w:hAnsi="Times New Roman" w:cs="Times New Roman"/>
      <w:b/>
      <w:caps/>
      <w:sz w:val="20"/>
      <w:szCs w:val="20"/>
      <w:lang w:eastAsia="en-AU"/>
    </w:rPr>
  </w:style>
  <w:style w:type="paragraph" w:styleId="Title">
    <w:name w:val="Title"/>
    <w:basedOn w:val="Normal"/>
    <w:next w:val="Normal"/>
    <w:link w:val="TitleChar"/>
    <w:qFormat/>
    <w:rsid w:val="0009212F"/>
    <w:pPr>
      <w:spacing w:after="360" w:line="240" w:lineRule="auto"/>
      <w:jc w:val="center"/>
    </w:pPr>
    <w:rPr>
      <w:rFonts w:ascii="Times New Roman" w:eastAsia="Times New Roman" w:hAnsi="Times New Roman" w:cs="Times New Roman"/>
      <w:b/>
      <w:smallCaps/>
      <w:sz w:val="32"/>
      <w:szCs w:val="20"/>
      <w:lang w:eastAsia="en-AU"/>
    </w:rPr>
  </w:style>
  <w:style w:type="character" w:customStyle="1" w:styleId="TitleChar">
    <w:name w:val="Title Char"/>
    <w:basedOn w:val="DefaultParagraphFont"/>
    <w:link w:val="Title"/>
    <w:rsid w:val="0009212F"/>
    <w:rPr>
      <w:rFonts w:ascii="Times New Roman" w:eastAsia="Times New Roman" w:hAnsi="Times New Roman" w:cs="Times New Roman"/>
      <w:b/>
      <w:smallCaps/>
      <w:sz w:val="32"/>
      <w:szCs w:val="20"/>
      <w:lang w:eastAsia="en-AU"/>
    </w:rPr>
  </w:style>
  <w:style w:type="paragraph" w:customStyle="1" w:styleId="BodyText1">
    <w:name w:val="Body Text 1"/>
    <w:basedOn w:val="Normal"/>
    <w:rsid w:val="0009212F"/>
    <w:pPr>
      <w:spacing w:after="240" w:line="240" w:lineRule="auto"/>
      <w:ind w:left="850"/>
      <w:jc w:val="both"/>
    </w:pPr>
    <w:rPr>
      <w:rFonts w:ascii="Times New Roman" w:eastAsia="Times New Roman" w:hAnsi="Times New Roman" w:cs="Times New Roman"/>
      <w:sz w:val="24"/>
      <w:szCs w:val="20"/>
      <w:lang w:eastAsia="en-AU"/>
    </w:rPr>
  </w:style>
  <w:style w:type="paragraph" w:customStyle="1" w:styleId="Style2">
    <w:name w:val="Style2"/>
    <w:basedOn w:val="Header"/>
    <w:rsid w:val="0009212F"/>
    <w:pPr>
      <w:numPr>
        <w:numId w:val="6"/>
      </w:numPr>
      <w:tabs>
        <w:tab w:val="clear" w:pos="4513"/>
        <w:tab w:val="clear" w:pos="9026"/>
      </w:tabs>
      <w:spacing w:before="60" w:after="60"/>
    </w:pPr>
    <w:rPr>
      <w:rFonts w:ascii="Arial" w:eastAsia="Times New Roman" w:hAnsi="Arial" w:cs="Times New Roman"/>
      <w:sz w:val="20"/>
      <w:szCs w:val="20"/>
      <w:lang w:eastAsia="en-AU"/>
    </w:rPr>
  </w:style>
  <w:style w:type="paragraph" w:customStyle="1" w:styleId="Style3">
    <w:name w:val="Style3"/>
    <w:basedOn w:val="Normal"/>
    <w:rsid w:val="0009212F"/>
    <w:pPr>
      <w:tabs>
        <w:tab w:val="left" w:pos="742"/>
      </w:tabs>
      <w:spacing w:after="0" w:line="240" w:lineRule="auto"/>
      <w:jc w:val="both"/>
    </w:pPr>
    <w:rPr>
      <w:rFonts w:ascii="Arial" w:eastAsia="Times New Roman" w:hAnsi="Arial" w:cs="Times New Roman"/>
      <w:sz w:val="20"/>
      <w:szCs w:val="20"/>
      <w:lang w:eastAsia="en-AU"/>
    </w:rPr>
  </w:style>
  <w:style w:type="paragraph" w:customStyle="1" w:styleId="Dash">
    <w:name w:val="Dash"/>
    <w:basedOn w:val="Normal"/>
    <w:rsid w:val="0009212F"/>
    <w:pPr>
      <w:numPr>
        <w:numId w:val="7"/>
      </w:numPr>
      <w:spacing w:after="0" w:line="240" w:lineRule="auto"/>
    </w:pPr>
    <w:rPr>
      <w:rFonts w:ascii="Times New Roman" w:eastAsia="Times New Roman" w:hAnsi="Times New Roman" w:cs="Times New Roman"/>
      <w:sz w:val="24"/>
      <w:szCs w:val="20"/>
      <w:lang w:eastAsia="en-AU"/>
    </w:rPr>
  </w:style>
  <w:style w:type="paragraph" w:customStyle="1" w:styleId="warren3">
    <w:name w:val="warren3"/>
    <w:basedOn w:val="Heading3"/>
    <w:rsid w:val="0009212F"/>
    <w:pPr>
      <w:numPr>
        <w:ilvl w:val="2"/>
        <w:numId w:val="8"/>
      </w:numPr>
    </w:pPr>
    <w:rPr>
      <w:b/>
    </w:rPr>
  </w:style>
  <w:style w:type="paragraph" w:customStyle="1" w:styleId="ModelBody">
    <w:name w:val="Model Body"/>
    <w:basedOn w:val="Normal"/>
    <w:link w:val="ModelBodyChar"/>
    <w:qFormat/>
    <w:rsid w:val="0009212F"/>
    <w:pPr>
      <w:keepNext/>
      <w:spacing w:before="120" w:after="120" w:line="240" w:lineRule="auto"/>
      <w:jc w:val="both"/>
      <w:outlineLvl w:val="0"/>
    </w:pPr>
    <w:rPr>
      <w:rFonts w:ascii="Arial" w:eastAsia="Times New Roman" w:hAnsi="Arial" w:cs="Arial"/>
      <w:kern w:val="28"/>
      <w:sz w:val="18"/>
      <w:szCs w:val="32"/>
      <w:lang w:eastAsia="en-AU"/>
    </w:rPr>
  </w:style>
  <w:style w:type="character" w:customStyle="1" w:styleId="ModelBodyChar">
    <w:name w:val="Model Body Char"/>
    <w:link w:val="ModelBody"/>
    <w:rsid w:val="0009212F"/>
    <w:rPr>
      <w:rFonts w:ascii="Arial" w:eastAsia="Times New Roman" w:hAnsi="Arial" w:cs="Arial"/>
      <w:kern w:val="28"/>
      <w:sz w:val="18"/>
      <w:szCs w:val="32"/>
      <w:lang w:eastAsia="en-AU"/>
    </w:rPr>
  </w:style>
  <w:style w:type="paragraph" w:styleId="ListParagraph">
    <w:name w:val="List Paragraph"/>
    <w:basedOn w:val="Normal"/>
    <w:uiPriority w:val="34"/>
    <w:qFormat/>
    <w:rsid w:val="0009212F"/>
    <w:pPr>
      <w:spacing w:after="0" w:line="240" w:lineRule="auto"/>
      <w:ind w:left="720"/>
      <w:contextualSpacing/>
      <w:jc w:val="both"/>
    </w:pPr>
    <w:rPr>
      <w:rFonts w:ascii="Times New Roman" w:eastAsia="Times New Roman" w:hAnsi="Times New Roman" w:cs="Times New Roman"/>
      <w:sz w:val="24"/>
      <w:szCs w:val="20"/>
      <w:lang w:eastAsia="en-AU"/>
    </w:rPr>
  </w:style>
  <w:style w:type="paragraph" w:styleId="NormalWeb">
    <w:name w:val="Normal (Web)"/>
    <w:basedOn w:val="Normal"/>
    <w:uiPriority w:val="99"/>
    <w:unhideWhenUsed/>
    <w:rsid w:val="00B40057"/>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Heading2AR">
    <w:name w:val="Heading 2 AR"/>
    <w:basedOn w:val="Heading"/>
    <w:link w:val="Heading2ARChar"/>
    <w:qFormat/>
    <w:rsid w:val="00F73CE3"/>
  </w:style>
  <w:style w:type="paragraph" w:customStyle="1" w:styleId="Heading2ARblack">
    <w:name w:val="Heading 2 AR black"/>
    <w:basedOn w:val="Heading"/>
    <w:link w:val="Heading2ARblackChar"/>
    <w:qFormat/>
    <w:rsid w:val="00672A12"/>
    <w:rPr>
      <w:rFonts w:ascii="Arial" w:hAnsi="Arial" w:cs="Arial"/>
      <w:color w:val="58585B"/>
    </w:rPr>
  </w:style>
  <w:style w:type="character" w:customStyle="1" w:styleId="Heading2ARChar">
    <w:name w:val="Heading 2 AR Char"/>
    <w:basedOn w:val="HeadingChar"/>
    <w:link w:val="Heading2AR"/>
    <w:rsid w:val="00F73CE3"/>
    <w:rPr>
      <w:rFonts w:ascii="Myriad Pro" w:hAnsi="Myriad Pro" w:cs="Myriad Pro"/>
      <w:caps/>
      <w:color w:val="BB8C0A"/>
      <w:spacing w:val="-13"/>
      <w:sz w:val="42"/>
      <w:szCs w:val="42"/>
      <w:lang w:val="en-GB"/>
    </w:rPr>
  </w:style>
  <w:style w:type="paragraph" w:customStyle="1" w:styleId="Heading1largeAR">
    <w:name w:val="Heading 1 large AR"/>
    <w:basedOn w:val="SectionHeading"/>
    <w:link w:val="Heading1largeARChar"/>
    <w:qFormat/>
    <w:rsid w:val="00F73CE3"/>
    <w:rPr>
      <w:rFonts w:ascii="Arial" w:hAnsi="Arial" w:cs="Arial"/>
    </w:rPr>
  </w:style>
  <w:style w:type="character" w:customStyle="1" w:styleId="Heading2ARblackChar">
    <w:name w:val="Heading 2 AR black Char"/>
    <w:basedOn w:val="HeadingChar"/>
    <w:link w:val="Heading2ARblack"/>
    <w:rsid w:val="00672A12"/>
    <w:rPr>
      <w:rFonts w:ascii="Arial" w:hAnsi="Arial" w:cs="Arial"/>
      <w:caps/>
      <w:color w:val="58585B"/>
      <w:spacing w:val="-13"/>
      <w:sz w:val="42"/>
      <w:szCs w:val="42"/>
      <w:lang w:val="en-GB"/>
    </w:rPr>
  </w:style>
  <w:style w:type="paragraph" w:customStyle="1" w:styleId="Heading2ARtitlecase">
    <w:name w:val="Heading 2 AR title case"/>
    <w:basedOn w:val="BC"/>
    <w:link w:val="Heading2ARtitlecaseChar"/>
    <w:qFormat/>
    <w:rsid w:val="00F73CE3"/>
    <w:rPr>
      <w:color w:val="BB8C0A"/>
      <w:sz w:val="35"/>
      <w:szCs w:val="35"/>
    </w:rPr>
  </w:style>
  <w:style w:type="character" w:customStyle="1" w:styleId="SectionHeadingChar">
    <w:name w:val="Section Heading Char"/>
    <w:basedOn w:val="HeadingChar"/>
    <w:link w:val="SectionHeading"/>
    <w:uiPriority w:val="99"/>
    <w:rsid w:val="00F73CE3"/>
    <w:rPr>
      <w:rFonts w:ascii="Arial Narrow" w:hAnsi="Arial Narrow" w:cs="Arial Narrow"/>
      <w:caps/>
      <w:color w:val="BB8C0A"/>
      <w:spacing w:val="-17"/>
      <w:position w:val="-1"/>
      <w:sz w:val="58"/>
      <w:szCs w:val="58"/>
      <w:lang w:val="en-GB"/>
    </w:rPr>
  </w:style>
  <w:style w:type="character" w:customStyle="1" w:styleId="Heading1largeARChar">
    <w:name w:val="Heading 1 large AR Char"/>
    <w:basedOn w:val="SectionHeadingChar"/>
    <w:link w:val="Heading1largeAR"/>
    <w:rsid w:val="00F73CE3"/>
    <w:rPr>
      <w:rFonts w:ascii="Arial" w:hAnsi="Arial" w:cs="Arial"/>
      <w:caps/>
      <w:color w:val="BB8C0A"/>
      <w:spacing w:val="-17"/>
      <w:position w:val="-1"/>
      <w:sz w:val="58"/>
      <w:szCs w:val="58"/>
      <w:lang w:val="en-GB"/>
    </w:rPr>
  </w:style>
  <w:style w:type="paragraph" w:customStyle="1" w:styleId="Heading4AR">
    <w:name w:val="Heading 4 AR"/>
    <w:basedOn w:val="SubHead"/>
    <w:link w:val="Heading4ARChar"/>
    <w:qFormat/>
    <w:rsid w:val="00F73CE3"/>
  </w:style>
  <w:style w:type="character" w:customStyle="1" w:styleId="Heading2ARtitlecaseChar">
    <w:name w:val="Heading 2 AR title case Char"/>
    <w:basedOn w:val="BCChar"/>
    <w:link w:val="Heading2ARtitlecase"/>
    <w:rsid w:val="00F73CE3"/>
    <w:rPr>
      <w:rFonts w:ascii="Arial" w:hAnsi="Arial" w:cs="Arial"/>
      <w:color w:val="BB8C0A"/>
      <w:sz w:val="35"/>
      <w:szCs w:val="35"/>
      <w:lang w:val="en-GB"/>
    </w:rPr>
  </w:style>
  <w:style w:type="character" w:customStyle="1" w:styleId="SubHeadChar">
    <w:name w:val="Sub Head Char"/>
    <w:basedOn w:val="BCChar"/>
    <w:link w:val="SubHead"/>
    <w:uiPriority w:val="99"/>
    <w:rsid w:val="00F73CE3"/>
    <w:rPr>
      <w:rFonts w:ascii="Arial" w:hAnsi="Arial" w:cs="Arial"/>
      <w:caps/>
      <w:color w:val="006198"/>
      <w:sz w:val="19"/>
      <w:szCs w:val="19"/>
      <w:lang w:val="en-GB"/>
    </w:rPr>
  </w:style>
  <w:style w:type="character" w:customStyle="1" w:styleId="Heading4ARChar">
    <w:name w:val="Heading 4 AR Char"/>
    <w:basedOn w:val="SubHeadChar"/>
    <w:link w:val="Heading4AR"/>
    <w:rsid w:val="00F73CE3"/>
    <w:rPr>
      <w:rFonts w:ascii="Arial" w:hAnsi="Arial" w:cs="Arial"/>
      <w:caps/>
      <w:color w:val="006198"/>
      <w:sz w:val="19"/>
      <w:szCs w:val="19"/>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9212F"/>
    <w:pPr>
      <w:keepNext/>
      <w:numPr>
        <w:numId w:val="8"/>
      </w:numPr>
      <w:spacing w:before="60" w:after="240" w:line="240" w:lineRule="auto"/>
      <w:outlineLvl w:val="0"/>
    </w:pPr>
    <w:rPr>
      <w:rFonts w:ascii="Times New Roman" w:eastAsia="Times New Roman" w:hAnsi="Times New Roman" w:cs="Times New Roman"/>
      <w:b/>
      <w:caps/>
      <w:sz w:val="24"/>
      <w:szCs w:val="20"/>
      <w:lang w:eastAsia="en-AU"/>
    </w:rPr>
  </w:style>
  <w:style w:type="paragraph" w:styleId="Heading2">
    <w:name w:val="heading 2"/>
    <w:basedOn w:val="Normal"/>
    <w:next w:val="BodyText2"/>
    <w:link w:val="Heading2Char"/>
    <w:qFormat/>
    <w:rsid w:val="0009212F"/>
    <w:pPr>
      <w:keepNext/>
      <w:numPr>
        <w:ilvl w:val="1"/>
        <w:numId w:val="8"/>
      </w:numPr>
      <w:spacing w:after="240" w:line="240" w:lineRule="auto"/>
      <w:outlineLvl w:val="1"/>
    </w:pPr>
    <w:rPr>
      <w:rFonts w:ascii="Times New Roman" w:eastAsia="Times New Roman" w:hAnsi="Times New Roman" w:cs="Times New Roman"/>
      <w:b/>
      <w:sz w:val="24"/>
      <w:szCs w:val="20"/>
      <w:lang w:eastAsia="en-AU"/>
    </w:rPr>
  </w:style>
  <w:style w:type="paragraph" w:styleId="Heading3">
    <w:name w:val="heading 3"/>
    <w:basedOn w:val="Normal"/>
    <w:next w:val="BodyText3"/>
    <w:link w:val="Heading3Char"/>
    <w:qFormat/>
    <w:rsid w:val="0009212F"/>
    <w:pPr>
      <w:spacing w:after="240" w:line="240" w:lineRule="auto"/>
      <w:jc w:val="both"/>
      <w:outlineLvl w:val="2"/>
    </w:pPr>
    <w:rPr>
      <w:rFonts w:ascii="Times New Roman" w:eastAsia="Times New Roman" w:hAnsi="Times New Roman" w:cs="Times New Roman"/>
      <w:sz w:val="24"/>
      <w:szCs w:val="20"/>
      <w:lang w:eastAsia="en-AU"/>
    </w:rPr>
  </w:style>
  <w:style w:type="paragraph" w:styleId="Heading4">
    <w:name w:val="heading 4"/>
    <w:basedOn w:val="Normal"/>
    <w:next w:val="BodyText4"/>
    <w:link w:val="Heading4Char"/>
    <w:qFormat/>
    <w:rsid w:val="0009212F"/>
    <w:pPr>
      <w:numPr>
        <w:ilvl w:val="3"/>
        <w:numId w:val="8"/>
      </w:numPr>
      <w:spacing w:after="240" w:line="240" w:lineRule="auto"/>
      <w:jc w:val="both"/>
      <w:outlineLvl w:val="3"/>
    </w:pPr>
    <w:rPr>
      <w:rFonts w:ascii="Times New Roman" w:eastAsia="Times New Roman" w:hAnsi="Times New Roman" w:cs="Times New Roman"/>
      <w:sz w:val="24"/>
      <w:szCs w:val="20"/>
      <w:lang w:eastAsia="en-AU"/>
    </w:rPr>
  </w:style>
  <w:style w:type="paragraph" w:styleId="Heading5">
    <w:name w:val="heading 5"/>
    <w:basedOn w:val="Normal"/>
    <w:next w:val="BodyText5"/>
    <w:link w:val="Heading5Char"/>
    <w:qFormat/>
    <w:rsid w:val="0009212F"/>
    <w:pPr>
      <w:numPr>
        <w:ilvl w:val="4"/>
        <w:numId w:val="8"/>
      </w:numPr>
      <w:spacing w:after="240" w:line="240" w:lineRule="auto"/>
      <w:jc w:val="both"/>
      <w:outlineLvl w:val="4"/>
    </w:pPr>
    <w:rPr>
      <w:rFonts w:ascii="Times New Roman" w:eastAsia="Times New Roman" w:hAnsi="Times New Roman" w:cs="Times New Roman"/>
      <w:sz w:val="24"/>
      <w:szCs w:val="20"/>
      <w:lang w:eastAsia="en-AU"/>
    </w:rPr>
  </w:style>
  <w:style w:type="paragraph" w:styleId="Heading6">
    <w:name w:val="heading 6"/>
    <w:basedOn w:val="Normal"/>
    <w:next w:val="BodyText6"/>
    <w:link w:val="Heading6Char"/>
    <w:qFormat/>
    <w:rsid w:val="0009212F"/>
    <w:pPr>
      <w:numPr>
        <w:ilvl w:val="5"/>
        <w:numId w:val="8"/>
      </w:numPr>
      <w:spacing w:after="240" w:line="240" w:lineRule="auto"/>
      <w:jc w:val="both"/>
      <w:outlineLvl w:val="5"/>
    </w:pPr>
    <w:rPr>
      <w:rFonts w:ascii="Times New Roman" w:eastAsia="Times New Roman" w:hAnsi="Times New Roman" w:cs="Times New Roman"/>
      <w:sz w:val="24"/>
      <w:szCs w:val="20"/>
      <w:lang w:eastAsia="en-AU"/>
    </w:rPr>
  </w:style>
  <w:style w:type="paragraph" w:styleId="Heading7">
    <w:name w:val="heading 7"/>
    <w:basedOn w:val="Normal"/>
    <w:next w:val="Normal"/>
    <w:link w:val="Heading7Char"/>
    <w:qFormat/>
    <w:rsid w:val="0009212F"/>
    <w:pPr>
      <w:numPr>
        <w:ilvl w:val="6"/>
        <w:numId w:val="8"/>
      </w:numPr>
      <w:spacing w:after="0" w:line="240" w:lineRule="auto"/>
      <w:jc w:val="both"/>
      <w:outlineLvl w:val="6"/>
    </w:pPr>
    <w:rPr>
      <w:rFonts w:ascii="Times New Roman" w:eastAsia="Times New Roman" w:hAnsi="Times New Roman" w:cs="Times New Roman"/>
      <w:sz w:val="24"/>
      <w:szCs w:val="20"/>
      <w:lang w:eastAsia="en-AU"/>
    </w:rPr>
  </w:style>
  <w:style w:type="paragraph" w:styleId="Heading8">
    <w:name w:val="heading 8"/>
    <w:basedOn w:val="Normal"/>
    <w:next w:val="Normal"/>
    <w:link w:val="Heading8Char"/>
    <w:qFormat/>
    <w:rsid w:val="0009212F"/>
    <w:pPr>
      <w:numPr>
        <w:ilvl w:val="7"/>
        <w:numId w:val="8"/>
      </w:numPr>
      <w:spacing w:after="0" w:line="240" w:lineRule="auto"/>
      <w:jc w:val="both"/>
      <w:outlineLvl w:val="7"/>
    </w:pPr>
    <w:rPr>
      <w:rFonts w:ascii="Times New Roman" w:eastAsia="Times New Roman" w:hAnsi="Times New Roman" w:cs="Times New Roman"/>
      <w:sz w:val="24"/>
      <w:szCs w:val="20"/>
      <w:lang w:eastAsia="en-AU"/>
    </w:rPr>
  </w:style>
  <w:style w:type="paragraph" w:styleId="Heading9">
    <w:name w:val="heading 9"/>
    <w:basedOn w:val="Normal"/>
    <w:next w:val="Normal"/>
    <w:link w:val="Heading9Char"/>
    <w:qFormat/>
    <w:rsid w:val="0009212F"/>
    <w:pPr>
      <w:numPr>
        <w:ilvl w:val="8"/>
        <w:numId w:val="8"/>
      </w:numPr>
      <w:spacing w:after="0" w:line="240" w:lineRule="auto"/>
      <w:jc w:val="both"/>
      <w:outlineLvl w:val="8"/>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12F"/>
    <w:rPr>
      <w:rFonts w:ascii="Times New Roman" w:eastAsia="Times New Roman" w:hAnsi="Times New Roman" w:cs="Times New Roman"/>
      <w:b/>
      <w:caps/>
      <w:sz w:val="24"/>
      <w:szCs w:val="20"/>
      <w:lang w:eastAsia="en-AU"/>
    </w:rPr>
  </w:style>
  <w:style w:type="paragraph" w:styleId="BodyText2">
    <w:name w:val="Body Text 2"/>
    <w:basedOn w:val="Normal"/>
    <w:link w:val="BodyText2Char"/>
    <w:rsid w:val="0009212F"/>
    <w:pPr>
      <w:spacing w:after="240" w:line="240" w:lineRule="auto"/>
      <w:ind w:left="850"/>
      <w:jc w:val="both"/>
    </w:pPr>
    <w:rPr>
      <w:rFonts w:ascii="Times New Roman" w:eastAsia="Times New Roman" w:hAnsi="Times New Roman" w:cs="Times New Roman"/>
      <w:sz w:val="24"/>
      <w:szCs w:val="20"/>
      <w:lang w:eastAsia="en-AU"/>
    </w:rPr>
  </w:style>
  <w:style w:type="character" w:customStyle="1" w:styleId="BodyText2Char">
    <w:name w:val="Body Text 2 Char"/>
    <w:basedOn w:val="DefaultParagraphFont"/>
    <w:link w:val="BodyText2"/>
    <w:rsid w:val="0009212F"/>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rsid w:val="0009212F"/>
    <w:rPr>
      <w:rFonts w:ascii="Times New Roman" w:eastAsia="Times New Roman" w:hAnsi="Times New Roman" w:cs="Times New Roman"/>
      <w:b/>
      <w:sz w:val="24"/>
      <w:szCs w:val="20"/>
      <w:lang w:eastAsia="en-AU"/>
    </w:rPr>
  </w:style>
  <w:style w:type="paragraph" w:styleId="BodyText3">
    <w:name w:val="Body Text 3"/>
    <w:basedOn w:val="Normal"/>
    <w:link w:val="BodyText3Char"/>
    <w:rsid w:val="0009212F"/>
    <w:pPr>
      <w:spacing w:after="240" w:line="240" w:lineRule="auto"/>
      <w:ind w:left="1701"/>
      <w:jc w:val="both"/>
    </w:pPr>
    <w:rPr>
      <w:rFonts w:ascii="Times New Roman" w:eastAsia="Times New Roman" w:hAnsi="Times New Roman" w:cs="Times New Roman"/>
      <w:sz w:val="24"/>
      <w:szCs w:val="20"/>
      <w:lang w:eastAsia="en-AU"/>
    </w:rPr>
  </w:style>
  <w:style w:type="character" w:customStyle="1" w:styleId="BodyText3Char">
    <w:name w:val="Body Text 3 Char"/>
    <w:basedOn w:val="DefaultParagraphFont"/>
    <w:link w:val="BodyText3"/>
    <w:rsid w:val="0009212F"/>
    <w:rPr>
      <w:rFonts w:ascii="Times New Roman" w:eastAsia="Times New Roman" w:hAnsi="Times New Roman" w:cs="Times New Roman"/>
      <w:sz w:val="24"/>
      <w:szCs w:val="20"/>
      <w:lang w:eastAsia="en-AU"/>
    </w:rPr>
  </w:style>
  <w:style w:type="character" w:customStyle="1" w:styleId="Heading3Char">
    <w:name w:val="Heading 3 Char"/>
    <w:basedOn w:val="DefaultParagraphFont"/>
    <w:link w:val="Heading3"/>
    <w:rsid w:val="0009212F"/>
    <w:rPr>
      <w:rFonts w:ascii="Times New Roman" w:eastAsia="Times New Roman" w:hAnsi="Times New Roman" w:cs="Times New Roman"/>
      <w:sz w:val="24"/>
      <w:szCs w:val="20"/>
      <w:lang w:eastAsia="en-AU"/>
    </w:rPr>
  </w:style>
  <w:style w:type="paragraph" w:customStyle="1" w:styleId="BodyText4">
    <w:name w:val="Body Text 4"/>
    <w:basedOn w:val="Normal"/>
    <w:rsid w:val="0009212F"/>
    <w:pPr>
      <w:spacing w:after="240" w:line="240" w:lineRule="auto"/>
      <w:ind w:left="2551"/>
      <w:jc w:val="both"/>
    </w:pPr>
    <w:rPr>
      <w:rFonts w:ascii="Times New Roman" w:eastAsia="Times New Roman" w:hAnsi="Times New Roman" w:cs="Times New Roman"/>
      <w:sz w:val="24"/>
      <w:szCs w:val="20"/>
      <w:lang w:eastAsia="en-AU"/>
    </w:rPr>
  </w:style>
  <w:style w:type="character" w:customStyle="1" w:styleId="Heading4Char">
    <w:name w:val="Heading 4 Char"/>
    <w:basedOn w:val="DefaultParagraphFont"/>
    <w:link w:val="Heading4"/>
    <w:rsid w:val="0009212F"/>
    <w:rPr>
      <w:rFonts w:ascii="Times New Roman" w:eastAsia="Times New Roman" w:hAnsi="Times New Roman" w:cs="Times New Roman"/>
      <w:sz w:val="24"/>
      <w:szCs w:val="20"/>
      <w:lang w:eastAsia="en-AU"/>
    </w:rPr>
  </w:style>
  <w:style w:type="paragraph" w:customStyle="1" w:styleId="BodyText5">
    <w:name w:val="Body Text 5"/>
    <w:basedOn w:val="Normal"/>
    <w:rsid w:val="0009212F"/>
    <w:pPr>
      <w:spacing w:after="240" w:line="240" w:lineRule="auto"/>
      <w:ind w:left="3402"/>
      <w:jc w:val="both"/>
    </w:pPr>
    <w:rPr>
      <w:rFonts w:ascii="Times New Roman" w:eastAsia="Times New Roman" w:hAnsi="Times New Roman" w:cs="Times New Roman"/>
      <w:sz w:val="24"/>
      <w:szCs w:val="20"/>
      <w:lang w:eastAsia="en-AU"/>
    </w:rPr>
  </w:style>
  <w:style w:type="character" w:customStyle="1" w:styleId="Heading5Char">
    <w:name w:val="Heading 5 Char"/>
    <w:basedOn w:val="DefaultParagraphFont"/>
    <w:link w:val="Heading5"/>
    <w:rsid w:val="0009212F"/>
    <w:rPr>
      <w:rFonts w:ascii="Times New Roman" w:eastAsia="Times New Roman" w:hAnsi="Times New Roman" w:cs="Times New Roman"/>
      <w:sz w:val="24"/>
      <w:szCs w:val="20"/>
      <w:lang w:eastAsia="en-AU"/>
    </w:rPr>
  </w:style>
  <w:style w:type="paragraph" w:customStyle="1" w:styleId="BodyText6">
    <w:name w:val="Body Text 6"/>
    <w:basedOn w:val="Normal"/>
    <w:rsid w:val="0009212F"/>
    <w:pPr>
      <w:spacing w:after="240" w:line="240" w:lineRule="auto"/>
      <w:ind w:left="4252"/>
      <w:jc w:val="both"/>
    </w:pPr>
    <w:rPr>
      <w:rFonts w:ascii="Times New Roman" w:eastAsia="Times New Roman" w:hAnsi="Times New Roman" w:cs="Times New Roman"/>
      <w:sz w:val="24"/>
      <w:szCs w:val="20"/>
      <w:lang w:eastAsia="en-AU"/>
    </w:rPr>
  </w:style>
  <w:style w:type="character" w:customStyle="1" w:styleId="Heading6Char">
    <w:name w:val="Heading 6 Char"/>
    <w:basedOn w:val="DefaultParagraphFont"/>
    <w:link w:val="Heading6"/>
    <w:rsid w:val="0009212F"/>
    <w:rPr>
      <w:rFonts w:ascii="Times New Roman" w:eastAsia="Times New Roman" w:hAnsi="Times New Roman" w:cs="Times New Roman"/>
      <w:sz w:val="24"/>
      <w:szCs w:val="20"/>
      <w:lang w:eastAsia="en-AU"/>
    </w:rPr>
  </w:style>
  <w:style w:type="character" w:customStyle="1" w:styleId="Heading7Char">
    <w:name w:val="Heading 7 Char"/>
    <w:basedOn w:val="DefaultParagraphFont"/>
    <w:link w:val="Heading7"/>
    <w:rsid w:val="0009212F"/>
    <w:rPr>
      <w:rFonts w:ascii="Times New Roman" w:eastAsia="Times New Roman" w:hAnsi="Times New Roman" w:cs="Times New Roman"/>
      <w:sz w:val="24"/>
      <w:szCs w:val="20"/>
      <w:lang w:eastAsia="en-AU"/>
    </w:rPr>
  </w:style>
  <w:style w:type="character" w:customStyle="1" w:styleId="Heading8Char">
    <w:name w:val="Heading 8 Char"/>
    <w:basedOn w:val="DefaultParagraphFont"/>
    <w:link w:val="Heading8"/>
    <w:rsid w:val="0009212F"/>
    <w:rPr>
      <w:rFonts w:ascii="Times New Roman" w:eastAsia="Times New Roman" w:hAnsi="Times New Roman" w:cs="Times New Roman"/>
      <w:sz w:val="24"/>
      <w:szCs w:val="20"/>
      <w:lang w:eastAsia="en-AU"/>
    </w:rPr>
  </w:style>
  <w:style w:type="character" w:customStyle="1" w:styleId="Heading9Char">
    <w:name w:val="Heading 9 Char"/>
    <w:basedOn w:val="DefaultParagraphFont"/>
    <w:link w:val="Heading9"/>
    <w:rsid w:val="0009212F"/>
    <w:rPr>
      <w:rFonts w:ascii="Times New Roman" w:eastAsia="Times New Roman" w:hAnsi="Times New Roman" w:cs="Times New Roman"/>
      <w:sz w:val="24"/>
      <w:szCs w:val="20"/>
      <w:lang w:eastAsia="en-AU"/>
    </w:rPr>
  </w:style>
  <w:style w:type="paragraph" w:customStyle="1" w:styleId="BasicParagraph">
    <w:name w:val="[Basic Paragraph]"/>
    <w:basedOn w:val="Normal"/>
    <w:uiPriority w:val="99"/>
    <w:rsid w:val="00067D76"/>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C">
    <w:name w:val="BC"/>
    <w:basedOn w:val="Normal"/>
    <w:link w:val="BCChar"/>
    <w:uiPriority w:val="99"/>
    <w:rsid w:val="00067D76"/>
    <w:pPr>
      <w:suppressAutoHyphens/>
      <w:autoSpaceDE w:val="0"/>
      <w:autoSpaceDN w:val="0"/>
      <w:adjustRightInd w:val="0"/>
      <w:spacing w:before="57" w:after="113" w:line="245" w:lineRule="atLeast"/>
      <w:textAlignment w:val="center"/>
    </w:pPr>
    <w:rPr>
      <w:rFonts w:ascii="Arial" w:hAnsi="Arial" w:cs="Arial"/>
      <w:color w:val="58585B"/>
      <w:sz w:val="19"/>
      <w:szCs w:val="19"/>
      <w:lang w:val="en-GB"/>
    </w:rPr>
  </w:style>
  <w:style w:type="character" w:customStyle="1" w:styleId="BCChar">
    <w:name w:val="BC Char"/>
    <w:basedOn w:val="DefaultParagraphFont"/>
    <w:link w:val="BC"/>
    <w:uiPriority w:val="99"/>
    <w:rsid w:val="00FA69B7"/>
    <w:rPr>
      <w:rFonts w:ascii="Arial" w:hAnsi="Arial" w:cs="Arial"/>
      <w:color w:val="58585B"/>
      <w:sz w:val="19"/>
      <w:szCs w:val="19"/>
      <w:lang w:val="en-GB"/>
    </w:rPr>
  </w:style>
  <w:style w:type="paragraph" w:customStyle="1" w:styleId="bc-bold">
    <w:name w:val="bc - bold"/>
    <w:basedOn w:val="BC"/>
    <w:uiPriority w:val="99"/>
    <w:rsid w:val="00067D76"/>
    <w:rPr>
      <w:b/>
      <w:bCs/>
    </w:rPr>
  </w:style>
  <w:style w:type="paragraph" w:customStyle="1" w:styleId="Heading">
    <w:name w:val="Heading"/>
    <w:basedOn w:val="Normal"/>
    <w:link w:val="HeadingChar"/>
    <w:uiPriority w:val="99"/>
    <w:rsid w:val="00067D76"/>
    <w:pPr>
      <w:suppressAutoHyphens/>
      <w:autoSpaceDE w:val="0"/>
      <w:autoSpaceDN w:val="0"/>
      <w:adjustRightInd w:val="0"/>
      <w:spacing w:after="283" w:line="420" w:lineRule="atLeast"/>
      <w:textAlignment w:val="center"/>
    </w:pPr>
    <w:rPr>
      <w:rFonts w:ascii="Myriad Pro" w:hAnsi="Myriad Pro" w:cs="Myriad Pro"/>
      <w:caps/>
      <w:color w:val="BB8C0A"/>
      <w:spacing w:val="-13"/>
      <w:sz w:val="42"/>
      <w:szCs w:val="42"/>
      <w:lang w:val="en-GB"/>
    </w:rPr>
  </w:style>
  <w:style w:type="character" w:customStyle="1" w:styleId="HeadingChar">
    <w:name w:val="Heading Char"/>
    <w:basedOn w:val="DefaultParagraphFont"/>
    <w:link w:val="Heading"/>
    <w:uiPriority w:val="99"/>
    <w:rsid w:val="00067D76"/>
    <w:rPr>
      <w:rFonts w:ascii="Myriad Pro" w:hAnsi="Myriad Pro" w:cs="Myriad Pro"/>
      <w:caps/>
      <w:color w:val="BB8C0A"/>
      <w:spacing w:val="-13"/>
      <w:sz w:val="42"/>
      <w:szCs w:val="42"/>
      <w:lang w:val="en-GB"/>
    </w:rPr>
  </w:style>
  <w:style w:type="paragraph" w:customStyle="1" w:styleId="TOC-LEVEL1">
    <w:name w:val="TOC - LEVEL 1"/>
    <w:basedOn w:val="Normal"/>
    <w:uiPriority w:val="99"/>
    <w:rsid w:val="00067D76"/>
    <w:pPr>
      <w:suppressAutoHyphens/>
      <w:autoSpaceDE w:val="0"/>
      <w:autoSpaceDN w:val="0"/>
      <w:adjustRightInd w:val="0"/>
      <w:spacing w:before="57" w:after="0" w:line="220" w:lineRule="atLeast"/>
      <w:ind w:left="170"/>
      <w:textAlignment w:val="center"/>
    </w:pPr>
    <w:rPr>
      <w:rFonts w:ascii="Arial" w:hAnsi="Arial" w:cs="Arial"/>
      <w:b/>
      <w:bCs/>
      <w:color w:val="58585B"/>
      <w:sz w:val="19"/>
      <w:szCs w:val="19"/>
      <w:lang w:val="en-GB"/>
    </w:rPr>
  </w:style>
  <w:style w:type="paragraph" w:customStyle="1" w:styleId="TOC-HEADING">
    <w:name w:val="TOC - HEADING"/>
    <w:basedOn w:val="Normal"/>
    <w:uiPriority w:val="99"/>
    <w:rsid w:val="00067D76"/>
    <w:pPr>
      <w:tabs>
        <w:tab w:val="left" w:pos="170"/>
        <w:tab w:val="left" w:pos="340"/>
      </w:tabs>
      <w:suppressAutoHyphens/>
      <w:autoSpaceDE w:val="0"/>
      <w:autoSpaceDN w:val="0"/>
      <w:adjustRightInd w:val="0"/>
      <w:spacing w:before="170" w:after="0" w:line="250" w:lineRule="atLeast"/>
      <w:textAlignment w:val="center"/>
    </w:pPr>
    <w:rPr>
      <w:rFonts w:ascii="Arial" w:hAnsi="Arial" w:cs="Arial"/>
      <w:b/>
      <w:bCs/>
      <w:caps/>
      <w:color w:val="BB8C0A"/>
      <w:position w:val="-1"/>
      <w:sz w:val="19"/>
      <w:szCs w:val="19"/>
      <w:lang w:val="en-GB"/>
    </w:rPr>
  </w:style>
  <w:style w:type="paragraph" w:customStyle="1" w:styleId="TOC-Level2">
    <w:name w:val="TOC - Level 2"/>
    <w:basedOn w:val="TOC-LEVEL1"/>
    <w:uiPriority w:val="99"/>
    <w:rsid w:val="00067D76"/>
    <w:pPr>
      <w:spacing w:before="43"/>
      <w:ind w:left="227"/>
    </w:pPr>
    <w:rPr>
      <w:b w:val="0"/>
      <w:bCs w:val="0"/>
      <w:i/>
      <w:iCs/>
      <w:color w:val="000000"/>
    </w:rPr>
  </w:style>
  <w:style w:type="character" w:customStyle="1" w:styleId="TOC-Heading0">
    <w:name w:val="TOC - Heading"/>
    <w:uiPriority w:val="99"/>
    <w:rsid w:val="00067D76"/>
    <w:rPr>
      <w:rFonts w:ascii="Arial" w:hAnsi="Arial" w:cs="Arial"/>
      <w:color w:val="000000"/>
      <w:sz w:val="17"/>
      <w:szCs w:val="17"/>
    </w:rPr>
  </w:style>
  <w:style w:type="character" w:customStyle="1" w:styleId="TOC-SectionHead">
    <w:name w:val="TOC - Section Head"/>
    <w:basedOn w:val="DefaultParagraphFont"/>
    <w:uiPriority w:val="99"/>
    <w:rsid w:val="00067D76"/>
    <w:rPr>
      <w:rFonts w:ascii="Arial" w:hAnsi="Arial" w:cs="Arial"/>
      <w:b/>
      <w:bCs/>
      <w:caps/>
      <w:color w:val="BB8C0A"/>
      <w:position w:val="0"/>
      <w:sz w:val="18"/>
      <w:szCs w:val="18"/>
      <w:vertAlign w:val="baseline"/>
    </w:rPr>
  </w:style>
  <w:style w:type="character" w:customStyle="1" w:styleId="TOC-SubHead">
    <w:name w:val="TOC - Sub Head"/>
    <w:uiPriority w:val="99"/>
    <w:rsid w:val="00067D76"/>
    <w:rPr>
      <w:rFonts w:ascii="Arial" w:hAnsi="Arial" w:cs="Arial"/>
      <w:i/>
      <w:iCs/>
      <w:color w:val="000000"/>
      <w:sz w:val="16"/>
      <w:szCs w:val="16"/>
    </w:rPr>
  </w:style>
  <w:style w:type="paragraph" w:customStyle="1" w:styleId="Intro">
    <w:name w:val="Intro"/>
    <w:basedOn w:val="Normal"/>
    <w:uiPriority w:val="99"/>
    <w:rsid w:val="00067D76"/>
    <w:pPr>
      <w:suppressAutoHyphens/>
      <w:autoSpaceDE w:val="0"/>
      <w:autoSpaceDN w:val="0"/>
      <w:adjustRightInd w:val="0"/>
      <w:spacing w:before="567" w:after="113" w:line="280" w:lineRule="atLeast"/>
      <w:textAlignment w:val="center"/>
    </w:pPr>
    <w:rPr>
      <w:rFonts w:ascii="Myriad Pro" w:hAnsi="Myriad Pro" w:cs="Myriad Pro"/>
      <w:color w:val="0074A5"/>
      <w:lang w:val="en-GB"/>
    </w:rPr>
  </w:style>
  <w:style w:type="character" w:customStyle="1" w:styleId="nonbreaking">
    <w:name w:val="nonbreaking"/>
    <w:uiPriority w:val="99"/>
    <w:rsid w:val="00067D76"/>
  </w:style>
  <w:style w:type="paragraph" w:customStyle="1" w:styleId="Tick">
    <w:name w:val="Tick"/>
    <w:basedOn w:val="BC"/>
    <w:uiPriority w:val="99"/>
    <w:rsid w:val="00067D76"/>
    <w:pPr>
      <w:tabs>
        <w:tab w:val="left" w:pos="283"/>
      </w:tabs>
      <w:ind w:left="283" w:hanging="227"/>
    </w:pPr>
  </w:style>
  <w:style w:type="paragraph" w:customStyle="1" w:styleId="Heading1AR">
    <w:name w:val="Heading 1 AR"/>
    <w:basedOn w:val="Heading"/>
    <w:link w:val="Heading1ARChar"/>
    <w:qFormat/>
    <w:rsid w:val="00067D76"/>
  </w:style>
  <w:style w:type="character" w:customStyle="1" w:styleId="Heading1ARChar">
    <w:name w:val="Heading 1 AR Char"/>
    <w:basedOn w:val="HeadingChar"/>
    <w:link w:val="Heading1AR"/>
    <w:rsid w:val="00067D76"/>
    <w:rPr>
      <w:rFonts w:ascii="Myriad Pro" w:hAnsi="Myriad Pro" w:cs="Myriad Pro"/>
      <w:caps/>
      <w:color w:val="BB8C0A"/>
      <w:spacing w:val="-13"/>
      <w:sz w:val="42"/>
      <w:szCs w:val="42"/>
      <w:lang w:val="en-GB"/>
    </w:rPr>
  </w:style>
  <w:style w:type="paragraph" w:customStyle="1" w:styleId="BodyCopy">
    <w:name w:val="BodyCopy"/>
    <w:basedOn w:val="BC"/>
    <w:link w:val="BodyCopyChar"/>
    <w:qFormat/>
    <w:rsid w:val="00FA69B7"/>
  </w:style>
  <w:style w:type="character" w:customStyle="1" w:styleId="BodyCopyChar">
    <w:name w:val="BodyCopy Char"/>
    <w:basedOn w:val="BCChar"/>
    <w:link w:val="BodyCopy"/>
    <w:rsid w:val="00FA69B7"/>
    <w:rPr>
      <w:rFonts w:ascii="Arial" w:hAnsi="Arial" w:cs="Arial"/>
      <w:color w:val="58585B"/>
      <w:sz w:val="19"/>
      <w:szCs w:val="19"/>
      <w:lang w:val="en-GB"/>
    </w:rPr>
  </w:style>
  <w:style w:type="paragraph" w:customStyle="1" w:styleId="SectionHeading">
    <w:name w:val="Section Heading"/>
    <w:basedOn w:val="Heading"/>
    <w:link w:val="SectionHeadingChar"/>
    <w:uiPriority w:val="99"/>
    <w:rsid w:val="00FA69B7"/>
    <w:pPr>
      <w:spacing w:line="600" w:lineRule="atLeast"/>
    </w:pPr>
    <w:rPr>
      <w:rFonts w:ascii="Arial Narrow" w:hAnsi="Arial Narrow" w:cs="Arial Narrow"/>
      <w:spacing w:val="-17"/>
      <w:position w:val="-1"/>
      <w:sz w:val="58"/>
      <w:szCs w:val="58"/>
    </w:rPr>
  </w:style>
  <w:style w:type="paragraph" w:customStyle="1" w:styleId="SubHead">
    <w:name w:val="Sub Head"/>
    <w:basedOn w:val="BC"/>
    <w:link w:val="SubHeadChar"/>
    <w:uiPriority w:val="99"/>
    <w:rsid w:val="00FA69B7"/>
    <w:pPr>
      <w:spacing w:before="283" w:after="0"/>
    </w:pPr>
    <w:rPr>
      <w:caps/>
      <w:color w:val="006198"/>
      <w:sz w:val="22"/>
      <w:szCs w:val="22"/>
    </w:rPr>
  </w:style>
  <w:style w:type="paragraph" w:customStyle="1" w:styleId="DotPoint">
    <w:name w:val="Dot Point"/>
    <w:basedOn w:val="Tick"/>
    <w:uiPriority w:val="99"/>
    <w:rsid w:val="00FA69B7"/>
    <w:pPr>
      <w:spacing w:before="0" w:after="14"/>
    </w:pPr>
  </w:style>
  <w:style w:type="table" w:styleId="TableGrid">
    <w:name w:val="Table Grid"/>
    <w:basedOn w:val="TableNormal"/>
    <w:uiPriority w:val="59"/>
    <w:rsid w:val="008A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2">
    <w:name w:val="A12"/>
    <w:uiPriority w:val="99"/>
    <w:rsid w:val="008A0474"/>
    <w:rPr>
      <w:b/>
      <w:bCs/>
      <w:color w:val="000000"/>
      <w:sz w:val="16"/>
      <w:szCs w:val="16"/>
    </w:rPr>
  </w:style>
  <w:style w:type="character" w:customStyle="1" w:styleId="A18">
    <w:name w:val="A18"/>
    <w:uiPriority w:val="99"/>
    <w:rsid w:val="008A0474"/>
    <w:rPr>
      <w:b/>
      <w:bCs/>
      <w:color w:val="000000"/>
      <w:sz w:val="14"/>
      <w:szCs w:val="14"/>
    </w:rPr>
  </w:style>
  <w:style w:type="paragraph" w:customStyle="1" w:styleId="Pa0">
    <w:name w:val="Pa0"/>
    <w:basedOn w:val="Normal"/>
    <w:next w:val="Normal"/>
    <w:uiPriority w:val="99"/>
    <w:rsid w:val="008A0474"/>
    <w:pPr>
      <w:autoSpaceDE w:val="0"/>
      <w:autoSpaceDN w:val="0"/>
      <w:adjustRightInd w:val="0"/>
      <w:spacing w:after="0" w:line="241" w:lineRule="atLeast"/>
    </w:pPr>
    <w:rPr>
      <w:rFonts w:ascii="Arial" w:hAnsi="Arial" w:cs="Arial"/>
      <w:sz w:val="24"/>
      <w:szCs w:val="24"/>
    </w:rPr>
  </w:style>
  <w:style w:type="paragraph" w:customStyle="1" w:styleId="Default">
    <w:name w:val="Default"/>
    <w:rsid w:val="00E879A2"/>
    <w:pPr>
      <w:autoSpaceDE w:val="0"/>
      <w:autoSpaceDN w:val="0"/>
      <w:adjustRightInd w:val="0"/>
      <w:spacing w:after="0" w:line="240" w:lineRule="auto"/>
    </w:pPr>
    <w:rPr>
      <w:rFonts w:ascii="Arial" w:hAnsi="Arial" w:cs="Arial"/>
      <w:color w:val="000000"/>
      <w:sz w:val="24"/>
      <w:szCs w:val="24"/>
    </w:rPr>
  </w:style>
  <w:style w:type="paragraph" w:customStyle="1" w:styleId="Pa1">
    <w:name w:val="Pa1"/>
    <w:basedOn w:val="Default"/>
    <w:next w:val="Default"/>
    <w:uiPriority w:val="99"/>
    <w:rsid w:val="00E879A2"/>
    <w:pPr>
      <w:spacing w:line="191" w:lineRule="atLeast"/>
    </w:pPr>
    <w:rPr>
      <w:color w:val="auto"/>
    </w:rPr>
  </w:style>
  <w:style w:type="character" w:customStyle="1" w:styleId="A16">
    <w:name w:val="A16"/>
    <w:uiPriority w:val="99"/>
    <w:rsid w:val="00E879A2"/>
    <w:rPr>
      <w:color w:val="000000"/>
      <w:sz w:val="35"/>
      <w:szCs w:val="35"/>
    </w:rPr>
  </w:style>
  <w:style w:type="paragraph" w:customStyle="1" w:styleId="Pa9">
    <w:name w:val="Pa9"/>
    <w:basedOn w:val="Default"/>
    <w:next w:val="Default"/>
    <w:uiPriority w:val="99"/>
    <w:rsid w:val="00E879A2"/>
    <w:pPr>
      <w:spacing w:line="191" w:lineRule="atLeast"/>
    </w:pPr>
    <w:rPr>
      <w:color w:val="auto"/>
    </w:rPr>
  </w:style>
  <w:style w:type="character" w:customStyle="1" w:styleId="A15">
    <w:name w:val="A15"/>
    <w:uiPriority w:val="99"/>
    <w:rsid w:val="00E879A2"/>
    <w:rPr>
      <w:color w:val="000000"/>
    </w:rPr>
  </w:style>
  <w:style w:type="paragraph" w:customStyle="1" w:styleId="Pa12">
    <w:name w:val="Pa12"/>
    <w:basedOn w:val="Default"/>
    <w:next w:val="Default"/>
    <w:uiPriority w:val="99"/>
    <w:rsid w:val="00E879A2"/>
    <w:pPr>
      <w:spacing w:line="221" w:lineRule="atLeast"/>
    </w:pPr>
    <w:rPr>
      <w:color w:val="auto"/>
    </w:rPr>
  </w:style>
  <w:style w:type="paragraph" w:customStyle="1" w:styleId="Pa4">
    <w:name w:val="Pa4"/>
    <w:basedOn w:val="Default"/>
    <w:next w:val="Default"/>
    <w:uiPriority w:val="99"/>
    <w:rsid w:val="00C3314F"/>
    <w:pPr>
      <w:spacing w:line="421" w:lineRule="atLeast"/>
    </w:pPr>
    <w:rPr>
      <w:rFonts w:ascii="Myriad Pro" w:hAnsi="Myriad Pro" w:cstheme="minorBidi"/>
      <w:color w:val="auto"/>
    </w:rPr>
  </w:style>
  <w:style w:type="paragraph" w:customStyle="1" w:styleId="Pa8">
    <w:name w:val="Pa8"/>
    <w:basedOn w:val="Default"/>
    <w:next w:val="Default"/>
    <w:uiPriority w:val="99"/>
    <w:rsid w:val="00C3314F"/>
    <w:pPr>
      <w:spacing w:line="221" w:lineRule="atLeast"/>
    </w:pPr>
    <w:rPr>
      <w:rFonts w:ascii="Myriad Pro" w:hAnsi="Myriad Pro" w:cstheme="minorBidi"/>
      <w:color w:val="auto"/>
    </w:rPr>
  </w:style>
  <w:style w:type="paragraph" w:customStyle="1" w:styleId="Pa13">
    <w:name w:val="Pa13"/>
    <w:basedOn w:val="Default"/>
    <w:next w:val="Default"/>
    <w:uiPriority w:val="99"/>
    <w:rsid w:val="00C3314F"/>
    <w:pPr>
      <w:spacing w:line="191" w:lineRule="atLeast"/>
    </w:pPr>
    <w:rPr>
      <w:color w:val="auto"/>
    </w:rPr>
  </w:style>
  <w:style w:type="paragraph" w:customStyle="1" w:styleId="Pa10">
    <w:name w:val="Pa10"/>
    <w:basedOn w:val="Default"/>
    <w:next w:val="Default"/>
    <w:uiPriority w:val="99"/>
    <w:rsid w:val="00C3314F"/>
    <w:pPr>
      <w:spacing w:line="191" w:lineRule="atLeast"/>
    </w:pPr>
    <w:rPr>
      <w:color w:val="auto"/>
    </w:rPr>
  </w:style>
  <w:style w:type="paragraph" w:customStyle="1" w:styleId="Pa14">
    <w:name w:val="Pa14"/>
    <w:basedOn w:val="Default"/>
    <w:next w:val="Default"/>
    <w:uiPriority w:val="99"/>
    <w:rsid w:val="00C3314F"/>
    <w:pPr>
      <w:spacing w:line="191" w:lineRule="atLeast"/>
    </w:pPr>
    <w:rPr>
      <w:color w:val="auto"/>
    </w:rPr>
  </w:style>
  <w:style w:type="character" w:customStyle="1" w:styleId="A22">
    <w:name w:val="A22"/>
    <w:uiPriority w:val="99"/>
    <w:rsid w:val="00C3314F"/>
    <w:rPr>
      <w:b/>
      <w:bCs/>
      <w:color w:val="000000"/>
    </w:rPr>
  </w:style>
  <w:style w:type="character" w:customStyle="1" w:styleId="A14">
    <w:name w:val="A14"/>
    <w:uiPriority w:val="99"/>
    <w:rsid w:val="004F3AD0"/>
    <w:rPr>
      <w:color w:val="000000"/>
      <w:sz w:val="22"/>
      <w:szCs w:val="22"/>
    </w:rPr>
  </w:style>
  <w:style w:type="character" w:customStyle="1" w:styleId="A23">
    <w:name w:val="A23"/>
    <w:uiPriority w:val="99"/>
    <w:rsid w:val="004F3AD0"/>
    <w:rPr>
      <w:color w:val="000000"/>
      <w:sz w:val="11"/>
      <w:szCs w:val="11"/>
    </w:rPr>
  </w:style>
  <w:style w:type="paragraph" w:customStyle="1" w:styleId="Pa16">
    <w:name w:val="Pa16"/>
    <w:basedOn w:val="Default"/>
    <w:next w:val="Default"/>
    <w:uiPriority w:val="99"/>
    <w:rsid w:val="004F3AD0"/>
    <w:pPr>
      <w:spacing w:line="161" w:lineRule="atLeast"/>
    </w:pPr>
    <w:rPr>
      <w:color w:val="auto"/>
    </w:rPr>
  </w:style>
  <w:style w:type="paragraph" w:styleId="Header">
    <w:name w:val="header"/>
    <w:basedOn w:val="Normal"/>
    <w:link w:val="HeaderChar"/>
    <w:unhideWhenUsed/>
    <w:rsid w:val="00E96B50"/>
    <w:pPr>
      <w:tabs>
        <w:tab w:val="center" w:pos="4513"/>
        <w:tab w:val="right" w:pos="9026"/>
      </w:tabs>
      <w:spacing w:after="0" w:line="240" w:lineRule="auto"/>
    </w:pPr>
  </w:style>
  <w:style w:type="character" w:customStyle="1" w:styleId="HeaderChar">
    <w:name w:val="Header Char"/>
    <w:basedOn w:val="DefaultParagraphFont"/>
    <w:link w:val="Header"/>
    <w:rsid w:val="00E96B50"/>
  </w:style>
  <w:style w:type="paragraph" w:styleId="Footer">
    <w:name w:val="footer"/>
    <w:basedOn w:val="Normal"/>
    <w:link w:val="FooterChar"/>
    <w:uiPriority w:val="99"/>
    <w:unhideWhenUsed/>
    <w:rsid w:val="00E96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B50"/>
  </w:style>
  <w:style w:type="paragraph" w:customStyle="1" w:styleId="Annexure">
    <w:name w:val="Annexure"/>
    <w:basedOn w:val="Normal"/>
    <w:next w:val="Normal"/>
    <w:rsid w:val="0009212F"/>
    <w:pPr>
      <w:spacing w:after="240" w:line="240" w:lineRule="auto"/>
      <w:jc w:val="center"/>
    </w:pPr>
    <w:rPr>
      <w:rFonts w:ascii="Times New Roman" w:eastAsia="Times New Roman" w:hAnsi="Times New Roman" w:cs="Times New Roman"/>
      <w:b/>
      <w:caps/>
      <w:sz w:val="24"/>
      <w:szCs w:val="20"/>
      <w:lang w:eastAsia="en-AU"/>
    </w:rPr>
  </w:style>
  <w:style w:type="paragraph" w:styleId="BlockText">
    <w:name w:val="Block Text"/>
    <w:basedOn w:val="Normal"/>
    <w:next w:val="Normal"/>
    <w:rsid w:val="0009212F"/>
    <w:pPr>
      <w:spacing w:after="240" w:line="240" w:lineRule="auto"/>
      <w:jc w:val="both"/>
    </w:pPr>
    <w:rPr>
      <w:rFonts w:ascii="Times New Roman" w:eastAsia="Times New Roman" w:hAnsi="Times New Roman" w:cs="Times New Roman"/>
      <w:sz w:val="24"/>
      <w:szCs w:val="20"/>
      <w:lang w:eastAsia="en-AU"/>
    </w:rPr>
  </w:style>
  <w:style w:type="paragraph" w:customStyle="1" w:styleId="Schedule">
    <w:name w:val="Schedule"/>
    <w:basedOn w:val="Normal"/>
    <w:next w:val="Normal"/>
    <w:rsid w:val="0009212F"/>
    <w:pPr>
      <w:spacing w:after="240" w:line="240" w:lineRule="auto"/>
      <w:jc w:val="center"/>
    </w:pPr>
    <w:rPr>
      <w:rFonts w:ascii="Times New Roman" w:eastAsia="Times New Roman" w:hAnsi="Times New Roman" w:cs="Times New Roman"/>
      <w:b/>
      <w:caps/>
      <w:sz w:val="24"/>
      <w:szCs w:val="20"/>
      <w:lang w:eastAsia="en-AU"/>
    </w:rPr>
  </w:style>
  <w:style w:type="paragraph" w:customStyle="1" w:styleId="Style1">
    <w:name w:val="Style1"/>
    <w:basedOn w:val="Normal"/>
    <w:rsid w:val="0009212F"/>
    <w:pPr>
      <w:spacing w:before="60" w:after="60" w:line="240" w:lineRule="auto"/>
      <w:jc w:val="center"/>
    </w:pPr>
    <w:rPr>
      <w:rFonts w:ascii="Arial" w:eastAsia="Times New Roman" w:hAnsi="Arial" w:cs="Times New Roman"/>
      <w:sz w:val="20"/>
      <w:szCs w:val="20"/>
      <w:lang w:eastAsia="en-AU"/>
    </w:rPr>
  </w:style>
  <w:style w:type="paragraph" w:styleId="TOC1">
    <w:name w:val="toc 1"/>
    <w:basedOn w:val="Normal"/>
    <w:next w:val="Normal"/>
    <w:autoRedefine/>
    <w:semiHidden/>
    <w:rsid w:val="0009212F"/>
    <w:pPr>
      <w:spacing w:before="120" w:after="120" w:line="240" w:lineRule="auto"/>
    </w:pPr>
    <w:rPr>
      <w:rFonts w:ascii="Times New Roman" w:eastAsia="Times New Roman" w:hAnsi="Times New Roman" w:cs="Times New Roman"/>
      <w:b/>
      <w:caps/>
      <w:sz w:val="20"/>
      <w:szCs w:val="20"/>
      <w:lang w:eastAsia="en-AU"/>
    </w:rPr>
  </w:style>
  <w:style w:type="paragraph" w:styleId="Title">
    <w:name w:val="Title"/>
    <w:basedOn w:val="Normal"/>
    <w:next w:val="Normal"/>
    <w:link w:val="TitleChar"/>
    <w:qFormat/>
    <w:rsid w:val="0009212F"/>
    <w:pPr>
      <w:spacing w:after="360" w:line="240" w:lineRule="auto"/>
      <w:jc w:val="center"/>
    </w:pPr>
    <w:rPr>
      <w:rFonts w:ascii="Times New Roman" w:eastAsia="Times New Roman" w:hAnsi="Times New Roman" w:cs="Times New Roman"/>
      <w:b/>
      <w:smallCaps/>
      <w:sz w:val="32"/>
      <w:szCs w:val="20"/>
      <w:lang w:eastAsia="en-AU"/>
    </w:rPr>
  </w:style>
  <w:style w:type="character" w:customStyle="1" w:styleId="TitleChar">
    <w:name w:val="Title Char"/>
    <w:basedOn w:val="DefaultParagraphFont"/>
    <w:link w:val="Title"/>
    <w:rsid w:val="0009212F"/>
    <w:rPr>
      <w:rFonts w:ascii="Times New Roman" w:eastAsia="Times New Roman" w:hAnsi="Times New Roman" w:cs="Times New Roman"/>
      <w:b/>
      <w:smallCaps/>
      <w:sz w:val="32"/>
      <w:szCs w:val="20"/>
      <w:lang w:eastAsia="en-AU"/>
    </w:rPr>
  </w:style>
  <w:style w:type="paragraph" w:customStyle="1" w:styleId="BodyText1">
    <w:name w:val="Body Text 1"/>
    <w:basedOn w:val="Normal"/>
    <w:rsid w:val="0009212F"/>
    <w:pPr>
      <w:spacing w:after="240" w:line="240" w:lineRule="auto"/>
      <w:ind w:left="850"/>
      <w:jc w:val="both"/>
    </w:pPr>
    <w:rPr>
      <w:rFonts w:ascii="Times New Roman" w:eastAsia="Times New Roman" w:hAnsi="Times New Roman" w:cs="Times New Roman"/>
      <w:sz w:val="24"/>
      <w:szCs w:val="20"/>
      <w:lang w:eastAsia="en-AU"/>
    </w:rPr>
  </w:style>
  <w:style w:type="paragraph" w:customStyle="1" w:styleId="Style2">
    <w:name w:val="Style2"/>
    <w:basedOn w:val="Header"/>
    <w:rsid w:val="0009212F"/>
    <w:pPr>
      <w:numPr>
        <w:numId w:val="6"/>
      </w:numPr>
      <w:tabs>
        <w:tab w:val="clear" w:pos="4513"/>
        <w:tab w:val="clear" w:pos="9026"/>
      </w:tabs>
      <w:spacing w:before="60" w:after="60"/>
    </w:pPr>
    <w:rPr>
      <w:rFonts w:ascii="Arial" w:eastAsia="Times New Roman" w:hAnsi="Arial" w:cs="Times New Roman"/>
      <w:sz w:val="20"/>
      <w:szCs w:val="20"/>
      <w:lang w:eastAsia="en-AU"/>
    </w:rPr>
  </w:style>
  <w:style w:type="paragraph" w:customStyle="1" w:styleId="Style3">
    <w:name w:val="Style3"/>
    <w:basedOn w:val="Normal"/>
    <w:rsid w:val="0009212F"/>
    <w:pPr>
      <w:tabs>
        <w:tab w:val="left" w:pos="742"/>
      </w:tabs>
      <w:spacing w:after="0" w:line="240" w:lineRule="auto"/>
      <w:jc w:val="both"/>
    </w:pPr>
    <w:rPr>
      <w:rFonts w:ascii="Arial" w:eastAsia="Times New Roman" w:hAnsi="Arial" w:cs="Times New Roman"/>
      <w:sz w:val="20"/>
      <w:szCs w:val="20"/>
      <w:lang w:eastAsia="en-AU"/>
    </w:rPr>
  </w:style>
  <w:style w:type="paragraph" w:customStyle="1" w:styleId="Dash">
    <w:name w:val="Dash"/>
    <w:basedOn w:val="Normal"/>
    <w:rsid w:val="0009212F"/>
    <w:pPr>
      <w:numPr>
        <w:numId w:val="7"/>
      </w:numPr>
      <w:spacing w:after="0" w:line="240" w:lineRule="auto"/>
    </w:pPr>
    <w:rPr>
      <w:rFonts w:ascii="Times New Roman" w:eastAsia="Times New Roman" w:hAnsi="Times New Roman" w:cs="Times New Roman"/>
      <w:sz w:val="24"/>
      <w:szCs w:val="20"/>
      <w:lang w:eastAsia="en-AU"/>
    </w:rPr>
  </w:style>
  <w:style w:type="paragraph" w:customStyle="1" w:styleId="warren3">
    <w:name w:val="warren3"/>
    <w:basedOn w:val="Heading3"/>
    <w:rsid w:val="0009212F"/>
    <w:pPr>
      <w:numPr>
        <w:ilvl w:val="2"/>
        <w:numId w:val="8"/>
      </w:numPr>
    </w:pPr>
    <w:rPr>
      <w:b/>
    </w:rPr>
  </w:style>
  <w:style w:type="paragraph" w:customStyle="1" w:styleId="ModelBody">
    <w:name w:val="Model Body"/>
    <w:basedOn w:val="Normal"/>
    <w:link w:val="ModelBodyChar"/>
    <w:qFormat/>
    <w:rsid w:val="0009212F"/>
    <w:pPr>
      <w:keepNext/>
      <w:spacing w:before="120" w:after="120" w:line="240" w:lineRule="auto"/>
      <w:jc w:val="both"/>
      <w:outlineLvl w:val="0"/>
    </w:pPr>
    <w:rPr>
      <w:rFonts w:ascii="Arial" w:eastAsia="Times New Roman" w:hAnsi="Arial" w:cs="Arial"/>
      <w:kern w:val="28"/>
      <w:sz w:val="18"/>
      <w:szCs w:val="32"/>
      <w:lang w:eastAsia="en-AU"/>
    </w:rPr>
  </w:style>
  <w:style w:type="character" w:customStyle="1" w:styleId="ModelBodyChar">
    <w:name w:val="Model Body Char"/>
    <w:link w:val="ModelBody"/>
    <w:rsid w:val="0009212F"/>
    <w:rPr>
      <w:rFonts w:ascii="Arial" w:eastAsia="Times New Roman" w:hAnsi="Arial" w:cs="Arial"/>
      <w:kern w:val="28"/>
      <w:sz w:val="18"/>
      <w:szCs w:val="32"/>
      <w:lang w:eastAsia="en-AU"/>
    </w:rPr>
  </w:style>
  <w:style w:type="paragraph" w:styleId="ListParagraph">
    <w:name w:val="List Paragraph"/>
    <w:basedOn w:val="Normal"/>
    <w:uiPriority w:val="34"/>
    <w:qFormat/>
    <w:rsid w:val="0009212F"/>
    <w:pPr>
      <w:spacing w:after="0" w:line="240" w:lineRule="auto"/>
      <w:ind w:left="720"/>
      <w:contextualSpacing/>
      <w:jc w:val="both"/>
    </w:pPr>
    <w:rPr>
      <w:rFonts w:ascii="Times New Roman" w:eastAsia="Times New Roman" w:hAnsi="Times New Roman" w:cs="Times New Roman"/>
      <w:sz w:val="24"/>
      <w:szCs w:val="20"/>
      <w:lang w:eastAsia="en-AU"/>
    </w:rPr>
  </w:style>
  <w:style w:type="paragraph" w:styleId="NormalWeb">
    <w:name w:val="Normal (Web)"/>
    <w:basedOn w:val="Normal"/>
    <w:uiPriority w:val="99"/>
    <w:unhideWhenUsed/>
    <w:rsid w:val="00B40057"/>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Heading2AR">
    <w:name w:val="Heading 2 AR"/>
    <w:basedOn w:val="Heading"/>
    <w:link w:val="Heading2ARChar"/>
    <w:qFormat/>
    <w:rsid w:val="00F73CE3"/>
  </w:style>
  <w:style w:type="paragraph" w:customStyle="1" w:styleId="Heading2ARblack">
    <w:name w:val="Heading 2 AR black"/>
    <w:basedOn w:val="Heading"/>
    <w:link w:val="Heading2ARblackChar"/>
    <w:qFormat/>
    <w:rsid w:val="00672A12"/>
    <w:rPr>
      <w:rFonts w:ascii="Arial" w:hAnsi="Arial" w:cs="Arial"/>
      <w:color w:val="58585B"/>
    </w:rPr>
  </w:style>
  <w:style w:type="character" w:customStyle="1" w:styleId="Heading2ARChar">
    <w:name w:val="Heading 2 AR Char"/>
    <w:basedOn w:val="HeadingChar"/>
    <w:link w:val="Heading2AR"/>
    <w:rsid w:val="00F73CE3"/>
    <w:rPr>
      <w:rFonts w:ascii="Myriad Pro" w:hAnsi="Myriad Pro" w:cs="Myriad Pro"/>
      <w:caps/>
      <w:color w:val="BB8C0A"/>
      <w:spacing w:val="-13"/>
      <w:sz w:val="42"/>
      <w:szCs w:val="42"/>
      <w:lang w:val="en-GB"/>
    </w:rPr>
  </w:style>
  <w:style w:type="paragraph" w:customStyle="1" w:styleId="Heading1largeAR">
    <w:name w:val="Heading 1 large AR"/>
    <w:basedOn w:val="SectionHeading"/>
    <w:link w:val="Heading1largeARChar"/>
    <w:qFormat/>
    <w:rsid w:val="00F73CE3"/>
    <w:rPr>
      <w:rFonts w:ascii="Arial" w:hAnsi="Arial" w:cs="Arial"/>
    </w:rPr>
  </w:style>
  <w:style w:type="character" w:customStyle="1" w:styleId="Heading2ARblackChar">
    <w:name w:val="Heading 2 AR black Char"/>
    <w:basedOn w:val="HeadingChar"/>
    <w:link w:val="Heading2ARblack"/>
    <w:rsid w:val="00672A12"/>
    <w:rPr>
      <w:rFonts w:ascii="Arial" w:hAnsi="Arial" w:cs="Arial"/>
      <w:caps/>
      <w:color w:val="58585B"/>
      <w:spacing w:val="-13"/>
      <w:sz w:val="42"/>
      <w:szCs w:val="42"/>
      <w:lang w:val="en-GB"/>
    </w:rPr>
  </w:style>
  <w:style w:type="paragraph" w:customStyle="1" w:styleId="Heading2ARtitlecase">
    <w:name w:val="Heading 2 AR title case"/>
    <w:basedOn w:val="BC"/>
    <w:link w:val="Heading2ARtitlecaseChar"/>
    <w:qFormat/>
    <w:rsid w:val="00F73CE3"/>
    <w:rPr>
      <w:color w:val="BB8C0A"/>
      <w:sz w:val="35"/>
      <w:szCs w:val="35"/>
    </w:rPr>
  </w:style>
  <w:style w:type="character" w:customStyle="1" w:styleId="SectionHeadingChar">
    <w:name w:val="Section Heading Char"/>
    <w:basedOn w:val="HeadingChar"/>
    <w:link w:val="SectionHeading"/>
    <w:uiPriority w:val="99"/>
    <w:rsid w:val="00F73CE3"/>
    <w:rPr>
      <w:rFonts w:ascii="Arial Narrow" w:hAnsi="Arial Narrow" w:cs="Arial Narrow"/>
      <w:caps/>
      <w:color w:val="BB8C0A"/>
      <w:spacing w:val="-17"/>
      <w:position w:val="-1"/>
      <w:sz w:val="58"/>
      <w:szCs w:val="58"/>
      <w:lang w:val="en-GB"/>
    </w:rPr>
  </w:style>
  <w:style w:type="character" w:customStyle="1" w:styleId="Heading1largeARChar">
    <w:name w:val="Heading 1 large AR Char"/>
    <w:basedOn w:val="SectionHeadingChar"/>
    <w:link w:val="Heading1largeAR"/>
    <w:rsid w:val="00F73CE3"/>
    <w:rPr>
      <w:rFonts w:ascii="Arial" w:hAnsi="Arial" w:cs="Arial"/>
      <w:caps/>
      <w:color w:val="BB8C0A"/>
      <w:spacing w:val="-17"/>
      <w:position w:val="-1"/>
      <w:sz w:val="58"/>
      <w:szCs w:val="58"/>
      <w:lang w:val="en-GB"/>
    </w:rPr>
  </w:style>
  <w:style w:type="paragraph" w:customStyle="1" w:styleId="Heading4AR">
    <w:name w:val="Heading 4 AR"/>
    <w:basedOn w:val="SubHead"/>
    <w:link w:val="Heading4ARChar"/>
    <w:qFormat/>
    <w:rsid w:val="00F73CE3"/>
  </w:style>
  <w:style w:type="character" w:customStyle="1" w:styleId="Heading2ARtitlecaseChar">
    <w:name w:val="Heading 2 AR title case Char"/>
    <w:basedOn w:val="BCChar"/>
    <w:link w:val="Heading2ARtitlecase"/>
    <w:rsid w:val="00F73CE3"/>
    <w:rPr>
      <w:rFonts w:ascii="Arial" w:hAnsi="Arial" w:cs="Arial"/>
      <w:color w:val="BB8C0A"/>
      <w:sz w:val="35"/>
      <w:szCs w:val="35"/>
      <w:lang w:val="en-GB"/>
    </w:rPr>
  </w:style>
  <w:style w:type="character" w:customStyle="1" w:styleId="SubHeadChar">
    <w:name w:val="Sub Head Char"/>
    <w:basedOn w:val="BCChar"/>
    <w:link w:val="SubHead"/>
    <w:uiPriority w:val="99"/>
    <w:rsid w:val="00F73CE3"/>
    <w:rPr>
      <w:rFonts w:ascii="Arial" w:hAnsi="Arial" w:cs="Arial"/>
      <w:caps/>
      <w:color w:val="006198"/>
      <w:sz w:val="19"/>
      <w:szCs w:val="19"/>
      <w:lang w:val="en-GB"/>
    </w:rPr>
  </w:style>
  <w:style w:type="character" w:customStyle="1" w:styleId="Heading4ARChar">
    <w:name w:val="Heading 4 AR Char"/>
    <w:basedOn w:val="SubHeadChar"/>
    <w:link w:val="Heading4AR"/>
    <w:rsid w:val="00F73CE3"/>
    <w:rPr>
      <w:rFonts w:ascii="Arial" w:hAnsi="Arial" w:cs="Arial"/>
      <w:caps/>
      <w:color w:val="006198"/>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D684F-01EE-44FC-B552-15CCD0BDF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64</Pages>
  <Words>22647</Words>
  <Characters>129092</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Western Australian Electoral Commission</Company>
  <LinksUpToDate>false</LinksUpToDate>
  <CharactersWithSpaces>151437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Figgess</dc:creator>
  <cp:lastModifiedBy>Gabrielle Germain</cp:lastModifiedBy>
  <cp:revision>8</cp:revision>
  <dcterms:created xsi:type="dcterms:W3CDTF">2015-10-14T03:31:00Z</dcterms:created>
  <dcterms:modified xsi:type="dcterms:W3CDTF">2015-10-14T07:49:00Z</dcterms:modified>
</cp:coreProperties>
</file>